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0BA" w:rsidRPr="00F230BA" w:rsidRDefault="00F230BA" w:rsidP="00F230BA">
      <w:pPr>
        <w:spacing w:line="360" w:lineRule="auto"/>
        <w:ind w:firstLine="709"/>
        <w:jc w:val="right"/>
        <w:rPr>
          <w:rFonts w:ascii="Times New Roman" w:hAnsi="Times New Roman" w:cs="Times New Roman"/>
          <w:b/>
          <w:i/>
          <w:sz w:val="28"/>
          <w:szCs w:val="28"/>
        </w:rPr>
      </w:pPr>
      <w:r w:rsidRPr="00F230BA">
        <w:rPr>
          <w:rFonts w:ascii="Times New Roman" w:hAnsi="Times New Roman" w:cs="Times New Roman"/>
          <w:b/>
          <w:i/>
          <w:sz w:val="28"/>
          <w:szCs w:val="28"/>
        </w:rPr>
        <w:t>Косар К. П.</w:t>
      </w:r>
      <w:r w:rsidRPr="00F230BA">
        <w:rPr>
          <w:rFonts w:ascii="Times New Roman" w:hAnsi="Times New Roman" w:cs="Times New Roman"/>
          <w:b/>
          <w:i/>
          <w:sz w:val="28"/>
          <w:szCs w:val="28"/>
        </w:rPr>
        <w:t>, викладач</w:t>
      </w:r>
    </w:p>
    <w:p w:rsidR="00F230BA" w:rsidRPr="00F230BA" w:rsidRDefault="00F230BA" w:rsidP="00F230BA">
      <w:pPr>
        <w:spacing w:line="360" w:lineRule="auto"/>
        <w:ind w:firstLine="709"/>
        <w:jc w:val="right"/>
        <w:rPr>
          <w:rFonts w:ascii="Times New Roman" w:hAnsi="Times New Roman" w:cs="Times New Roman"/>
          <w:b/>
          <w:i/>
          <w:sz w:val="28"/>
          <w:szCs w:val="28"/>
        </w:rPr>
      </w:pPr>
      <w:r w:rsidRPr="00F230BA">
        <w:rPr>
          <w:rFonts w:ascii="Times New Roman" w:hAnsi="Times New Roman" w:cs="Times New Roman"/>
          <w:b/>
          <w:i/>
          <w:sz w:val="28"/>
          <w:szCs w:val="28"/>
        </w:rPr>
        <w:t xml:space="preserve"> Уманський </w:t>
      </w:r>
      <w:r w:rsidRPr="00F230BA">
        <w:rPr>
          <w:rFonts w:ascii="Times New Roman" w:hAnsi="Times New Roman" w:cs="Times New Roman"/>
          <w:b/>
          <w:i/>
          <w:sz w:val="28"/>
          <w:szCs w:val="28"/>
        </w:rPr>
        <w:t>державний педагогічний</w:t>
      </w:r>
    </w:p>
    <w:p w:rsidR="00F230BA" w:rsidRPr="00F230BA" w:rsidRDefault="00F230BA" w:rsidP="00F230BA">
      <w:pPr>
        <w:spacing w:line="360" w:lineRule="auto"/>
        <w:ind w:firstLine="709"/>
        <w:jc w:val="right"/>
        <w:rPr>
          <w:rFonts w:ascii="Times New Roman" w:hAnsi="Times New Roman" w:cs="Times New Roman"/>
          <w:b/>
          <w:i/>
          <w:sz w:val="28"/>
          <w:szCs w:val="28"/>
        </w:rPr>
      </w:pPr>
      <w:r w:rsidRPr="00F230BA">
        <w:rPr>
          <w:rFonts w:ascii="Times New Roman" w:hAnsi="Times New Roman" w:cs="Times New Roman"/>
          <w:b/>
          <w:i/>
          <w:sz w:val="28"/>
          <w:szCs w:val="28"/>
        </w:rPr>
        <w:t xml:space="preserve"> університет імені Павла Тичини</w:t>
      </w:r>
    </w:p>
    <w:p w:rsidR="00F230BA" w:rsidRPr="00F230BA" w:rsidRDefault="00F230BA" w:rsidP="00F230BA">
      <w:pPr>
        <w:spacing w:line="360" w:lineRule="auto"/>
        <w:ind w:firstLine="709"/>
        <w:jc w:val="right"/>
        <w:rPr>
          <w:rFonts w:ascii="Times New Roman" w:hAnsi="Times New Roman" w:cs="Times New Roman"/>
          <w:b/>
          <w:i/>
          <w:sz w:val="28"/>
          <w:szCs w:val="28"/>
          <w:lang w:val="en-US"/>
        </w:rPr>
      </w:pPr>
      <w:r w:rsidRPr="00F230BA">
        <w:rPr>
          <w:rFonts w:ascii="Times New Roman" w:hAnsi="Times New Roman" w:cs="Times New Roman"/>
          <w:b/>
          <w:i/>
          <w:sz w:val="28"/>
          <w:szCs w:val="28"/>
        </w:rPr>
        <w:t>e-</w:t>
      </w:r>
      <w:proofErr w:type="spellStart"/>
      <w:r w:rsidRPr="00F230BA">
        <w:rPr>
          <w:rFonts w:ascii="Times New Roman" w:hAnsi="Times New Roman" w:cs="Times New Roman"/>
          <w:b/>
          <w:i/>
          <w:sz w:val="28"/>
          <w:szCs w:val="28"/>
        </w:rPr>
        <w:t>mail</w:t>
      </w:r>
      <w:proofErr w:type="spellEnd"/>
      <w:r w:rsidRPr="00F230BA">
        <w:rPr>
          <w:rFonts w:ascii="Times New Roman" w:hAnsi="Times New Roman" w:cs="Times New Roman"/>
          <w:b/>
          <w:i/>
          <w:sz w:val="28"/>
          <w:szCs w:val="28"/>
        </w:rPr>
        <w:t xml:space="preserve">: </w:t>
      </w:r>
      <w:r w:rsidRPr="00F230BA">
        <w:rPr>
          <w:rFonts w:ascii="Times New Roman" w:hAnsi="Times New Roman" w:cs="Times New Roman"/>
          <w:b/>
          <w:i/>
          <w:sz w:val="28"/>
          <w:szCs w:val="28"/>
          <w:lang w:val="en-US"/>
        </w:rPr>
        <w:t>brikkatya108@meta.ua</w:t>
      </w:r>
    </w:p>
    <w:p w:rsidR="0077752F" w:rsidRPr="00F230BA" w:rsidRDefault="009E1120" w:rsidP="00F230BA">
      <w:pPr>
        <w:spacing w:line="360" w:lineRule="auto"/>
        <w:ind w:firstLine="709"/>
        <w:jc w:val="center"/>
        <w:rPr>
          <w:rFonts w:ascii="Times New Roman" w:hAnsi="Times New Roman" w:cs="Times New Roman"/>
          <w:b/>
          <w:sz w:val="28"/>
          <w:szCs w:val="28"/>
        </w:rPr>
      </w:pPr>
      <w:bookmarkStart w:id="0" w:name="_GoBack"/>
      <w:bookmarkEnd w:id="0"/>
      <w:r w:rsidRPr="00F230BA">
        <w:rPr>
          <w:rFonts w:ascii="Times New Roman" w:hAnsi="Times New Roman" w:cs="Times New Roman"/>
          <w:b/>
          <w:sz w:val="28"/>
          <w:szCs w:val="28"/>
        </w:rPr>
        <w:t>ВИКОРИСТАННЯ РІЗНИХ ВИДІВ ТА ФОРМ РОДУ PRUNUS L. У ДЕКОРАТИВНОМУ САДІВНИЦТВІ</w:t>
      </w:r>
    </w:p>
    <w:p w:rsidR="008A59AB" w:rsidRPr="00F230BA" w:rsidRDefault="008A59AB" w:rsidP="00F230BA">
      <w:pPr>
        <w:spacing w:line="360" w:lineRule="auto"/>
        <w:ind w:firstLine="709"/>
        <w:jc w:val="both"/>
        <w:rPr>
          <w:rFonts w:ascii="Times New Roman" w:hAnsi="Times New Roman" w:cs="Times New Roman"/>
          <w:sz w:val="28"/>
          <w:szCs w:val="28"/>
        </w:rPr>
      </w:pPr>
      <w:r w:rsidRPr="00F230BA">
        <w:rPr>
          <w:rFonts w:ascii="Times New Roman" w:hAnsi="Times New Roman" w:cs="Times New Roman"/>
          <w:sz w:val="28"/>
          <w:szCs w:val="28"/>
        </w:rPr>
        <w:t xml:space="preserve">Культура східних декоративних вишень має тисячолітню історію. За даними </w:t>
      </w:r>
      <w:proofErr w:type="spellStart"/>
      <w:r w:rsidR="008A78C4" w:rsidRPr="00F230BA">
        <w:rPr>
          <w:rFonts w:ascii="Times New Roman" w:hAnsi="Times New Roman" w:cs="Times New Roman"/>
          <w:sz w:val="28"/>
          <w:szCs w:val="28"/>
        </w:rPr>
        <w:t>Рубцова</w:t>
      </w:r>
      <w:proofErr w:type="spellEnd"/>
      <w:r w:rsidR="008A78C4" w:rsidRPr="00F230BA">
        <w:rPr>
          <w:rFonts w:ascii="Times New Roman" w:hAnsi="Times New Roman" w:cs="Times New Roman"/>
          <w:sz w:val="28"/>
          <w:szCs w:val="28"/>
        </w:rPr>
        <w:t xml:space="preserve"> Л.И. (</w:t>
      </w:r>
      <w:r w:rsidRPr="00F230BA">
        <w:rPr>
          <w:rFonts w:ascii="Times New Roman" w:hAnsi="Times New Roman" w:cs="Times New Roman"/>
          <w:sz w:val="28"/>
          <w:szCs w:val="28"/>
        </w:rPr>
        <w:t>1977г.) махрові сорти східних декоративних вишень (</w:t>
      </w:r>
      <w:proofErr w:type="spellStart"/>
      <w:r w:rsidRPr="00F230BA">
        <w:rPr>
          <w:rFonts w:ascii="Times New Roman" w:hAnsi="Times New Roman" w:cs="Times New Roman"/>
          <w:sz w:val="28"/>
          <w:szCs w:val="28"/>
        </w:rPr>
        <w:t>сакура</w:t>
      </w:r>
      <w:proofErr w:type="spellEnd"/>
      <w:r w:rsidRPr="00F230BA">
        <w:rPr>
          <w:rFonts w:ascii="Times New Roman" w:hAnsi="Times New Roman" w:cs="Times New Roman"/>
          <w:sz w:val="28"/>
          <w:szCs w:val="28"/>
        </w:rPr>
        <w:t>) були вперше ввезені в Англію з Китаю1822г., в 1832 р. вони з'явились у Франції й в 1852 р. – США</w:t>
      </w:r>
      <w:r w:rsidR="00B15DAE" w:rsidRPr="00F230BA">
        <w:rPr>
          <w:rFonts w:ascii="Times New Roman" w:hAnsi="Times New Roman" w:cs="Times New Roman"/>
          <w:sz w:val="28"/>
          <w:szCs w:val="28"/>
        </w:rPr>
        <w:t xml:space="preserve">, до </w:t>
      </w:r>
      <w:proofErr w:type="spellStart"/>
      <w:r w:rsidR="00B15DAE" w:rsidRPr="00F230BA">
        <w:rPr>
          <w:rFonts w:ascii="Times New Roman" w:hAnsi="Times New Roman" w:cs="Times New Roman"/>
          <w:sz w:val="28"/>
          <w:szCs w:val="28"/>
        </w:rPr>
        <w:t>Укаїни</w:t>
      </w:r>
      <w:proofErr w:type="spellEnd"/>
      <w:r w:rsidR="00B15DAE" w:rsidRPr="00F230BA">
        <w:rPr>
          <w:rFonts w:ascii="Times New Roman" w:hAnsi="Times New Roman" w:cs="Times New Roman"/>
          <w:sz w:val="28"/>
          <w:szCs w:val="28"/>
        </w:rPr>
        <w:t xml:space="preserve"> </w:t>
      </w:r>
      <w:proofErr w:type="spellStart"/>
      <w:r w:rsidR="00B15DAE" w:rsidRPr="00F230BA">
        <w:rPr>
          <w:rFonts w:ascii="Times New Roman" w:hAnsi="Times New Roman" w:cs="Times New Roman"/>
          <w:sz w:val="28"/>
          <w:szCs w:val="28"/>
        </w:rPr>
        <w:t>сакура</w:t>
      </w:r>
      <w:proofErr w:type="spellEnd"/>
      <w:r w:rsidR="00B15DAE" w:rsidRPr="00F230BA">
        <w:rPr>
          <w:rFonts w:ascii="Times New Roman" w:hAnsi="Times New Roman" w:cs="Times New Roman"/>
          <w:sz w:val="28"/>
          <w:szCs w:val="28"/>
        </w:rPr>
        <w:t xml:space="preserve"> була завезена в  1923 році.</w:t>
      </w:r>
      <w:r w:rsidRPr="00F230BA">
        <w:rPr>
          <w:rFonts w:ascii="Times New Roman" w:hAnsi="Times New Roman" w:cs="Times New Roman"/>
          <w:sz w:val="28"/>
          <w:szCs w:val="28"/>
        </w:rPr>
        <w:t xml:space="preserve"> Ці дерева ростуть лише в Японії, кількох штатах Америки та на Закарпатті.</w:t>
      </w:r>
    </w:p>
    <w:p w:rsidR="002F1E71" w:rsidRPr="00F230BA" w:rsidRDefault="002F1E71" w:rsidP="00F230BA">
      <w:pPr>
        <w:spacing w:line="360" w:lineRule="auto"/>
        <w:ind w:firstLine="709"/>
        <w:jc w:val="both"/>
        <w:rPr>
          <w:rFonts w:ascii="Times New Roman" w:hAnsi="Times New Roman" w:cs="Times New Roman"/>
          <w:sz w:val="28"/>
          <w:szCs w:val="28"/>
        </w:rPr>
      </w:pPr>
      <w:proofErr w:type="spellStart"/>
      <w:r w:rsidRPr="00F230BA">
        <w:rPr>
          <w:rFonts w:ascii="Times New Roman" w:hAnsi="Times New Roman" w:cs="Times New Roman"/>
          <w:sz w:val="28"/>
          <w:szCs w:val="28"/>
        </w:rPr>
        <w:t>Сакурою</w:t>
      </w:r>
      <w:proofErr w:type="spellEnd"/>
      <w:r w:rsidRPr="00F230BA">
        <w:rPr>
          <w:rFonts w:ascii="Times New Roman" w:hAnsi="Times New Roman" w:cs="Times New Roman"/>
          <w:sz w:val="28"/>
          <w:szCs w:val="28"/>
        </w:rPr>
        <w:t xml:space="preserve"> називають дерева родини розових</w:t>
      </w:r>
      <w:r w:rsidR="008A59AB" w:rsidRPr="00F230BA">
        <w:rPr>
          <w:rFonts w:ascii="Times New Roman" w:hAnsi="Times New Roman" w:cs="Times New Roman"/>
          <w:sz w:val="28"/>
          <w:szCs w:val="28"/>
        </w:rPr>
        <w:t xml:space="preserve"> </w:t>
      </w:r>
      <w:r w:rsidRPr="00F230BA">
        <w:rPr>
          <w:rFonts w:ascii="Times New Roman" w:hAnsi="Times New Roman" w:cs="Times New Roman"/>
          <w:sz w:val="28"/>
          <w:szCs w:val="28"/>
        </w:rPr>
        <w:t xml:space="preserve">(Rosaceae), підродини сливових (вид - вишня </w:t>
      </w:r>
      <w:proofErr w:type="spellStart"/>
      <w:r w:rsidRPr="00F230BA">
        <w:rPr>
          <w:rFonts w:ascii="Times New Roman" w:hAnsi="Times New Roman" w:cs="Times New Roman"/>
          <w:sz w:val="28"/>
          <w:szCs w:val="28"/>
        </w:rPr>
        <w:t>дрібнопильчата</w:t>
      </w:r>
      <w:proofErr w:type="spellEnd"/>
      <w:r w:rsidRPr="00F230BA">
        <w:rPr>
          <w:rFonts w:ascii="Times New Roman" w:hAnsi="Times New Roman" w:cs="Times New Roman"/>
          <w:sz w:val="28"/>
          <w:szCs w:val="28"/>
        </w:rPr>
        <w:t xml:space="preserve">), велика частина яких виконує декоративну функцію: цвітуть, але не плодоносять (на відміну від інших дерев її виду, японську </w:t>
      </w:r>
      <w:proofErr w:type="spellStart"/>
      <w:r w:rsidRPr="00F230BA">
        <w:rPr>
          <w:rFonts w:ascii="Times New Roman" w:hAnsi="Times New Roman" w:cs="Times New Roman"/>
          <w:sz w:val="28"/>
          <w:szCs w:val="28"/>
        </w:rPr>
        <w:t>сакуру</w:t>
      </w:r>
      <w:proofErr w:type="spellEnd"/>
      <w:r w:rsidRPr="00F230BA">
        <w:rPr>
          <w:rFonts w:ascii="Times New Roman" w:hAnsi="Times New Roman" w:cs="Times New Roman"/>
          <w:sz w:val="28"/>
          <w:szCs w:val="28"/>
        </w:rPr>
        <w:t xml:space="preserve"> вирощують не заради ягід, а квітів). Існує 16 видів </w:t>
      </w:r>
      <w:proofErr w:type="spellStart"/>
      <w:r w:rsidRPr="00F230BA">
        <w:rPr>
          <w:rFonts w:ascii="Times New Roman" w:hAnsi="Times New Roman" w:cs="Times New Roman"/>
          <w:sz w:val="28"/>
          <w:szCs w:val="28"/>
        </w:rPr>
        <w:t>сакури</w:t>
      </w:r>
      <w:proofErr w:type="spellEnd"/>
      <w:r w:rsidRPr="00F230BA">
        <w:rPr>
          <w:rFonts w:ascii="Times New Roman" w:hAnsi="Times New Roman" w:cs="Times New Roman"/>
          <w:sz w:val="28"/>
          <w:szCs w:val="28"/>
        </w:rPr>
        <w:t xml:space="preserve"> і більше 400 її різновидів.</w:t>
      </w:r>
      <w:r w:rsidR="008A78C4" w:rsidRPr="00F230BA">
        <w:rPr>
          <w:rFonts w:ascii="Times New Roman" w:hAnsi="Times New Roman" w:cs="Times New Roman"/>
          <w:sz w:val="28"/>
          <w:szCs w:val="28"/>
        </w:rPr>
        <w:t xml:space="preserve"> </w:t>
      </w:r>
      <w:r w:rsidRPr="00F230BA">
        <w:rPr>
          <w:rFonts w:ascii="Times New Roman" w:hAnsi="Times New Roman" w:cs="Times New Roman"/>
          <w:sz w:val="28"/>
          <w:szCs w:val="28"/>
        </w:rPr>
        <w:t xml:space="preserve">Незважаючи на те що дерева </w:t>
      </w:r>
      <w:proofErr w:type="spellStart"/>
      <w:r w:rsidRPr="00F230BA">
        <w:rPr>
          <w:rFonts w:ascii="Times New Roman" w:hAnsi="Times New Roman" w:cs="Times New Roman"/>
          <w:sz w:val="28"/>
          <w:szCs w:val="28"/>
        </w:rPr>
        <w:t>сакури</w:t>
      </w:r>
      <w:proofErr w:type="spellEnd"/>
      <w:r w:rsidRPr="00F230BA">
        <w:rPr>
          <w:rFonts w:ascii="Times New Roman" w:hAnsi="Times New Roman" w:cs="Times New Roman"/>
          <w:sz w:val="28"/>
          <w:szCs w:val="28"/>
        </w:rPr>
        <w:t xml:space="preserve"> можна зустріти в основному на півдні північної півкулі: в Китаї, Кореї, в Гімалаях, найбільше дерев цього виду зростає в Японії: дев'ять з шістнадцяти видів і чимала кількість різновидів. </w:t>
      </w:r>
    </w:p>
    <w:p w:rsidR="008A59AB" w:rsidRPr="00F230BA" w:rsidRDefault="008A59AB" w:rsidP="00F230BA">
      <w:pPr>
        <w:spacing w:line="360" w:lineRule="auto"/>
        <w:ind w:firstLine="709"/>
        <w:jc w:val="both"/>
        <w:rPr>
          <w:rFonts w:ascii="Times New Roman" w:hAnsi="Times New Roman" w:cs="Times New Roman"/>
          <w:sz w:val="28"/>
          <w:szCs w:val="28"/>
        </w:rPr>
      </w:pPr>
      <w:r w:rsidRPr="00F230BA">
        <w:rPr>
          <w:rFonts w:ascii="Times New Roman" w:hAnsi="Times New Roman" w:cs="Times New Roman"/>
          <w:sz w:val="28"/>
          <w:szCs w:val="28"/>
        </w:rPr>
        <w:t xml:space="preserve">Висота рослини насамперед залежить від його віку, але зазвичай становить близько 8 метрів (але є і більш високі дерева, наприклад, одна з найстаріших </w:t>
      </w:r>
      <w:proofErr w:type="spellStart"/>
      <w:r w:rsidRPr="00F230BA">
        <w:rPr>
          <w:rFonts w:ascii="Times New Roman" w:hAnsi="Times New Roman" w:cs="Times New Roman"/>
          <w:sz w:val="28"/>
          <w:szCs w:val="28"/>
        </w:rPr>
        <w:t>сакур</w:t>
      </w:r>
      <w:proofErr w:type="spellEnd"/>
      <w:r w:rsidRPr="00F230BA">
        <w:rPr>
          <w:rFonts w:ascii="Times New Roman" w:hAnsi="Times New Roman" w:cs="Times New Roman"/>
          <w:sz w:val="28"/>
          <w:szCs w:val="28"/>
        </w:rPr>
        <w:t xml:space="preserve"> у світі, чий вік становить 1800 років, має близько 24 метрів висоти). Кора - гладка, порізана по всій поверхні дерева маленькими горизонтально розташованими тріщинами сірого, зеленого або червоного відтінку, а деревина дерева через високій кількості в ньому смоли дуже гнучка.</w:t>
      </w:r>
    </w:p>
    <w:p w:rsidR="008A59AB" w:rsidRPr="00F230BA" w:rsidRDefault="008A59AB" w:rsidP="00F230BA">
      <w:pPr>
        <w:spacing w:line="360" w:lineRule="auto"/>
        <w:ind w:firstLine="709"/>
        <w:jc w:val="both"/>
        <w:rPr>
          <w:rFonts w:ascii="Times New Roman" w:hAnsi="Times New Roman" w:cs="Times New Roman"/>
          <w:sz w:val="28"/>
          <w:szCs w:val="28"/>
        </w:rPr>
      </w:pPr>
      <w:r w:rsidRPr="00F230BA">
        <w:rPr>
          <w:rFonts w:ascii="Times New Roman" w:hAnsi="Times New Roman" w:cs="Times New Roman"/>
          <w:sz w:val="28"/>
          <w:szCs w:val="28"/>
        </w:rPr>
        <w:t xml:space="preserve">Листя овальної форми з трохи зазубреними краями. Коли гілочка </w:t>
      </w:r>
      <w:proofErr w:type="spellStart"/>
      <w:r w:rsidRPr="00F230BA">
        <w:rPr>
          <w:rFonts w:ascii="Times New Roman" w:hAnsi="Times New Roman" w:cs="Times New Roman"/>
          <w:sz w:val="28"/>
          <w:szCs w:val="28"/>
        </w:rPr>
        <w:t>сакури</w:t>
      </w:r>
      <w:proofErr w:type="spellEnd"/>
      <w:r w:rsidRPr="00F230BA">
        <w:rPr>
          <w:rFonts w:ascii="Times New Roman" w:hAnsi="Times New Roman" w:cs="Times New Roman"/>
          <w:sz w:val="28"/>
          <w:szCs w:val="28"/>
        </w:rPr>
        <w:t xml:space="preserve"> цвіте, то повністю покривається квітками в основному білого або рожевого кольору, при цьому кожне суцвіття складається з декількох махрових квіток, </w:t>
      </w:r>
      <w:r w:rsidRPr="00F230BA">
        <w:rPr>
          <w:rFonts w:ascii="Times New Roman" w:hAnsi="Times New Roman" w:cs="Times New Roman"/>
          <w:sz w:val="28"/>
          <w:szCs w:val="28"/>
        </w:rPr>
        <w:lastRenderedPageBreak/>
        <w:t>що мають зазвичай 5 пелюсток. Японцям вдалося вивести види, квітки яких містять близько 50 пелюсток, діаметр яких становить близько 50-60 мм - зовні вони навіть нагадують троянди, півонії, хризантеми.</w:t>
      </w:r>
    </w:p>
    <w:p w:rsidR="008A59AB" w:rsidRPr="00F230BA" w:rsidRDefault="008A59AB" w:rsidP="00F230BA">
      <w:pPr>
        <w:spacing w:line="360" w:lineRule="auto"/>
        <w:ind w:firstLine="709"/>
        <w:jc w:val="both"/>
        <w:rPr>
          <w:rFonts w:ascii="Times New Roman" w:hAnsi="Times New Roman" w:cs="Times New Roman"/>
          <w:sz w:val="28"/>
          <w:szCs w:val="28"/>
        </w:rPr>
      </w:pPr>
      <w:r w:rsidRPr="00F230BA">
        <w:rPr>
          <w:rFonts w:ascii="Times New Roman" w:hAnsi="Times New Roman" w:cs="Times New Roman"/>
          <w:sz w:val="28"/>
          <w:szCs w:val="28"/>
        </w:rPr>
        <w:t xml:space="preserve">Пелюстки </w:t>
      </w:r>
      <w:proofErr w:type="spellStart"/>
      <w:r w:rsidRPr="00F230BA">
        <w:rPr>
          <w:rFonts w:ascii="Times New Roman" w:hAnsi="Times New Roman" w:cs="Times New Roman"/>
          <w:sz w:val="28"/>
          <w:szCs w:val="28"/>
        </w:rPr>
        <w:t>сакури</w:t>
      </w:r>
      <w:proofErr w:type="spellEnd"/>
      <w:r w:rsidRPr="00F230BA">
        <w:rPr>
          <w:rFonts w:ascii="Times New Roman" w:hAnsi="Times New Roman" w:cs="Times New Roman"/>
          <w:sz w:val="28"/>
          <w:szCs w:val="28"/>
        </w:rPr>
        <w:t xml:space="preserve"> можуть бути різного кольору: часто зустрічається біла </w:t>
      </w:r>
      <w:proofErr w:type="spellStart"/>
      <w:r w:rsidRPr="00F230BA">
        <w:rPr>
          <w:rFonts w:ascii="Times New Roman" w:hAnsi="Times New Roman" w:cs="Times New Roman"/>
          <w:sz w:val="28"/>
          <w:szCs w:val="28"/>
        </w:rPr>
        <w:t>сакура</w:t>
      </w:r>
      <w:proofErr w:type="spellEnd"/>
      <w:r w:rsidRPr="00F230BA">
        <w:rPr>
          <w:rFonts w:ascii="Times New Roman" w:hAnsi="Times New Roman" w:cs="Times New Roman"/>
          <w:sz w:val="28"/>
          <w:szCs w:val="28"/>
        </w:rPr>
        <w:t xml:space="preserve"> і рожева, але нерідко можна побачити квіти червоного, малинового, жовтого і навіть зеленого і яскравих тонів. Оскільки квіти </w:t>
      </w:r>
      <w:proofErr w:type="spellStart"/>
      <w:r w:rsidRPr="00F230BA">
        <w:rPr>
          <w:rFonts w:ascii="Times New Roman" w:hAnsi="Times New Roman" w:cs="Times New Roman"/>
          <w:sz w:val="28"/>
          <w:szCs w:val="28"/>
        </w:rPr>
        <w:t>сакури</w:t>
      </w:r>
      <w:proofErr w:type="spellEnd"/>
      <w:r w:rsidRPr="00F230BA">
        <w:rPr>
          <w:rFonts w:ascii="Times New Roman" w:hAnsi="Times New Roman" w:cs="Times New Roman"/>
          <w:sz w:val="28"/>
          <w:szCs w:val="28"/>
        </w:rPr>
        <w:t xml:space="preserve"> розпускаються ще перед тим, як на дереві з'являється листя </w:t>
      </w:r>
      <w:proofErr w:type="spellStart"/>
      <w:r w:rsidRPr="00F230BA">
        <w:rPr>
          <w:rFonts w:ascii="Times New Roman" w:hAnsi="Times New Roman" w:cs="Times New Roman"/>
          <w:sz w:val="28"/>
          <w:szCs w:val="28"/>
        </w:rPr>
        <w:t>сакури</w:t>
      </w:r>
      <w:proofErr w:type="spellEnd"/>
      <w:r w:rsidRPr="00F230BA">
        <w:rPr>
          <w:rFonts w:ascii="Times New Roman" w:hAnsi="Times New Roman" w:cs="Times New Roman"/>
          <w:sz w:val="28"/>
          <w:szCs w:val="28"/>
        </w:rPr>
        <w:t>, створюється враження, ніби величезна кількість ніжних суцвіть обліпило мертвий і голий стовбур (тому період цвітіння в Японії асоціюється ще й з відродженням).</w:t>
      </w:r>
    </w:p>
    <w:p w:rsidR="00B15DAE" w:rsidRPr="00F230BA" w:rsidRDefault="00B15DAE" w:rsidP="00F230BA">
      <w:pPr>
        <w:spacing w:line="360" w:lineRule="auto"/>
        <w:ind w:firstLine="709"/>
        <w:jc w:val="both"/>
        <w:rPr>
          <w:rFonts w:ascii="Times New Roman" w:hAnsi="Times New Roman" w:cs="Times New Roman"/>
          <w:sz w:val="28"/>
          <w:szCs w:val="28"/>
        </w:rPr>
      </w:pPr>
      <w:r w:rsidRPr="00F230BA">
        <w:rPr>
          <w:rFonts w:ascii="Times New Roman" w:hAnsi="Times New Roman" w:cs="Times New Roman"/>
          <w:sz w:val="28"/>
          <w:szCs w:val="28"/>
        </w:rPr>
        <w:t>З плодів цієї рослини японці роблять кисле вино або додають в рис під час готування. Також знайшли застосування листю і пелюсткам - вони їх засолюють, після чого листя використовують як їстівну оболонку для приготованих з рису солодощів «</w:t>
      </w:r>
      <w:proofErr w:type="spellStart"/>
      <w:r w:rsidRPr="00F230BA">
        <w:rPr>
          <w:rFonts w:ascii="Times New Roman" w:hAnsi="Times New Roman" w:cs="Times New Roman"/>
          <w:sz w:val="28"/>
          <w:szCs w:val="28"/>
        </w:rPr>
        <w:t>сакура-моті</w:t>
      </w:r>
      <w:proofErr w:type="spellEnd"/>
      <w:r w:rsidRPr="00F230BA">
        <w:rPr>
          <w:rFonts w:ascii="Times New Roman" w:hAnsi="Times New Roman" w:cs="Times New Roman"/>
          <w:sz w:val="28"/>
          <w:szCs w:val="28"/>
        </w:rPr>
        <w:t xml:space="preserve">», а пелюстки </w:t>
      </w:r>
      <w:proofErr w:type="spellStart"/>
      <w:r w:rsidRPr="00F230BA">
        <w:rPr>
          <w:rFonts w:ascii="Times New Roman" w:hAnsi="Times New Roman" w:cs="Times New Roman"/>
          <w:sz w:val="28"/>
          <w:szCs w:val="28"/>
        </w:rPr>
        <w:t>сакури</w:t>
      </w:r>
      <w:proofErr w:type="spellEnd"/>
      <w:r w:rsidRPr="00F230BA">
        <w:rPr>
          <w:rFonts w:ascii="Times New Roman" w:hAnsi="Times New Roman" w:cs="Times New Roman"/>
          <w:sz w:val="28"/>
          <w:szCs w:val="28"/>
        </w:rPr>
        <w:t xml:space="preserve"> непогано справляються з роллю пахучої приправи. Під час свят їх нерідко опускають в окріп або в зелений чай, де пелюстки </w:t>
      </w:r>
      <w:proofErr w:type="spellStart"/>
      <w:r w:rsidRPr="00F230BA">
        <w:rPr>
          <w:rFonts w:ascii="Times New Roman" w:hAnsi="Times New Roman" w:cs="Times New Roman"/>
          <w:sz w:val="28"/>
          <w:szCs w:val="28"/>
        </w:rPr>
        <w:t>сакури</w:t>
      </w:r>
      <w:proofErr w:type="spellEnd"/>
      <w:r w:rsidRPr="00F230BA">
        <w:rPr>
          <w:rFonts w:ascii="Times New Roman" w:hAnsi="Times New Roman" w:cs="Times New Roman"/>
          <w:sz w:val="28"/>
          <w:szCs w:val="28"/>
        </w:rPr>
        <w:t xml:space="preserve"> розкриваютьс</w:t>
      </w:r>
      <w:r w:rsidR="008A78C4" w:rsidRPr="00F230BA">
        <w:rPr>
          <w:rFonts w:ascii="Times New Roman" w:hAnsi="Times New Roman" w:cs="Times New Roman"/>
          <w:sz w:val="28"/>
          <w:szCs w:val="28"/>
        </w:rPr>
        <w:t>я.</w:t>
      </w:r>
    </w:p>
    <w:p w:rsidR="002F1E71" w:rsidRPr="00F230BA" w:rsidRDefault="002F1E71" w:rsidP="00F230BA">
      <w:pPr>
        <w:spacing w:line="360" w:lineRule="auto"/>
        <w:ind w:firstLine="709"/>
        <w:jc w:val="both"/>
        <w:rPr>
          <w:rFonts w:ascii="Times New Roman" w:hAnsi="Times New Roman" w:cs="Times New Roman"/>
          <w:sz w:val="28"/>
          <w:szCs w:val="28"/>
        </w:rPr>
      </w:pPr>
      <w:r w:rsidRPr="00F230BA">
        <w:rPr>
          <w:rFonts w:ascii="Times New Roman" w:hAnsi="Times New Roman" w:cs="Times New Roman"/>
          <w:sz w:val="28"/>
          <w:szCs w:val="28"/>
        </w:rPr>
        <w:t>Стрімкий розвиток декоративного садівництва, що спостерігається останнім часом в Україні, вказує на невідповідність рівня наукових знань про декоративні форми деревних рослин, їх біологічну сутність та намаганнями спеціалістів по практичній реалізації проектів озеленення за участю цих рослин. Аборигенна дендрофлора України порівняно бідна декоративними формами деревних рослин. Тільки своєрідні кліматичні зони, як Карпати, Крим та інші вирізняються більшим, але також небагато чисельним формовим розмаїттям. Разом з цим, обличчя декоративного садівництва, культурних ландшафтів населених пунктів, парків, скверів, ботанічних садів визначається певною мірою інтродукованими високо декоративними формами, які відіграють велику естетичну й оздоровчу роль і є незамінною складовою рекреаційних зон.</w:t>
      </w:r>
    </w:p>
    <w:p w:rsidR="002F1E71" w:rsidRPr="00F230BA" w:rsidRDefault="002F1E71" w:rsidP="00F230BA">
      <w:pPr>
        <w:spacing w:line="360" w:lineRule="auto"/>
        <w:ind w:firstLine="709"/>
        <w:jc w:val="both"/>
        <w:rPr>
          <w:rFonts w:ascii="Times New Roman" w:hAnsi="Times New Roman" w:cs="Times New Roman"/>
          <w:sz w:val="28"/>
          <w:szCs w:val="28"/>
        </w:rPr>
      </w:pPr>
      <w:r w:rsidRPr="00F230BA">
        <w:rPr>
          <w:rFonts w:ascii="Times New Roman" w:hAnsi="Times New Roman" w:cs="Times New Roman"/>
          <w:sz w:val="28"/>
          <w:szCs w:val="28"/>
        </w:rPr>
        <w:t xml:space="preserve">Введення декоративних форм у культуру потребує специфічних знань про біологічні особливості інтродукованих рослин і тільки комплексне дослідження </w:t>
      </w:r>
      <w:r w:rsidRPr="00F230BA">
        <w:rPr>
          <w:rFonts w:ascii="Times New Roman" w:hAnsi="Times New Roman" w:cs="Times New Roman"/>
          <w:sz w:val="28"/>
          <w:szCs w:val="28"/>
        </w:rPr>
        <w:lastRenderedPageBreak/>
        <w:t>на різних рівнях організації біологічних систем вікових та сезонних змін структурних, ультраструктурних і функціональних якісних та кількісних характеристик екологічних груп інтродукованих рослин дозволить успішно вирішувати питання їх інтродукції, адаптації й культивування, а опрацювання методів розмноження цих рослин та технологій вирощування садивного матеріалу дозволить створити наукову базу для розвитку декоративного садівництва в Україні на рівні світових досягнень.</w:t>
      </w:r>
    </w:p>
    <w:p w:rsidR="008A78C4" w:rsidRPr="00F230BA" w:rsidRDefault="008A78C4" w:rsidP="00F230BA">
      <w:pPr>
        <w:spacing w:line="360" w:lineRule="auto"/>
        <w:ind w:firstLine="709"/>
        <w:jc w:val="both"/>
        <w:rPr>
          <w:rFonts w:ascii="Times New Roman" w:hAnsi="Times New Roman" w:cs="Times New Roman"/>
          <w:sz w:val="28"/>
          <w:szCs w:val="28"/>
        </w:rPr>
      </w:pPr>
      <w:r w:rsidRPr="00F230BA">
        <w:rPr>
          <w:rFonts w:ascii="Times New Roman" w:hAnsi="Times New Roman" w:cs="Times New Roman"/>
          <w:sz w:val="28"/>
          <w:szCs w:val="28"/>
        </w:rPr>
        <w:t xml:space="preserve">Наразі з цим, необхідним є й проведення критичного аналізу та узагальнення досвіду попередньої інтродукції декоративних форм деревних рослин в Україні. Ми вважаємо, що накопичено достатній досвід й отримано вагомі результати, які потребують серйозних висновків й можуть стати основою для наступного етапу інтродукції декоративних форм і розвитку декоративного садівництва. Тому метою дослідження є отримання нових та узагальнення наявних знань про біологічну сутність декоративних форм деревних рослин, теоретичні принципи їх інтродукції, особливості розмноження і культивування У контексті дослідження ми плануємо вирішити наступні задачі: обґрунтування біологічної сутності форми і процесу формоутворення у деревних рослин; вивчення ролі екологічних </w:t>
      </w:r>
      <w:proofErr w:type="spellStart"/>
      <w:r w:rsidRPr="00F230BA">
        <w:rPr>
          <w:rFonts w:ascii="Times New Roman" w:hAnsi="Times New Roman" w:cs="Times New Roman"/>
          <w:sz w:val="28"/>
          <w:szCs w:val="28"/>
        </w:rPr>
        <w:t>преадаптацій</w:t>
      </w:r>
      <w:proofErr w:type="spellEnd"/>
      <w:r w:rsidRPr="00F230BA">
        <w:rPr>
          <w:rFonts w:ascii="Times New Roman" w:hAnsi="Times New Roman" w:cs="Times New Roman"/>
          <w:sz w:val="28"/>
          <w:szCs w:val="28"/>
        </w:rPr>
        <w:t xml:space="preserve"> при інтродукції декоративних форм в Україну; аналіз адаптивності </w:t>
      </w:r>
      <w:proofErr w:type="spellStart"/>
      <w:r w:rsidRPr="00F230BA">
        <w:rPr>
          <w:rFonts w:ascii="Times New Roman" w:hAnsi="Times New Roman" w:cs="Times New Roman"/>
          <w:sz w:val="28"/>
          <w:szCs w:val="28"/>
        </w:rPr>
        <w:t>еколого-морфологічних</w:t>
      </w:r>
      <w:proofErr w:type="spellEnd"/>
      <w:r w:rsidRPr="00F230BA">
        <w:rPr>
          <w:rFonts w:ascii="Times New Roman" w:hAnsi="Times New Roman" w:cs="Times New Roman"/>
          <w:sz w:val="28"/>
          <w:szCs w:val="28"/>
        </w:rPr>
        <w:t xml:space="preserve"> характеристик вегетативних і генеративних органів та анатомічних показників будови асиміляційного апарату декоративних форм в умовах інтродукції; </w:t>
      </w:r>
      <w:proofErr w:type="spellStart"/>
      <w:r w:rsidRPr="00F230BA">
        <w:rPr>
          <w:rFonts w:ascii="Times New Roman" w:hAnsi="Times New Roman" w:cs="Times New Roman"/>
          <w:sz w:val="28"/>
          <w:szCs w:val="28"/>
        </w:rPr>
        <w:t>еколого-географічний</w:t>
      </w:r>
      <w:proofErr w:type="spellEnd"/>
      <w:r w:rsidRPr="00F230BA">
        <w:rPr>
          <w:rFonts w:ascii="Times New Roman" w:hAnsi="Times New Roman" w:cs="Times New Roman"/>
          <w:sz w:val="28"/>
          <w:szCs w:val="28"/>
        </w:rPr>
        <w:t xml:space="preserve"> аналіз результатів та опрацювання теоретичних принципів інтродукції декоративних форм деревних рослин в Україну; комплексне дослідження особливостей розмноження і вирощування садивного матеріалу декоративних форм деревних рослин; опрацювання наукових основ культивування і практичного використання декоративних форм у міському озелененні.</w:t>
      </w:r>
    </w:p>
    <w:p w:rsidR="008A78C4" w:rsidRPr="00F230BA" w:rsidRDefault="008A78C4" w:rsidP="00F230BA">
      <w:pPr>
        <w:spacing w:line="360" w:lineRule="auto"/>
        <w:ind w:firstLine="709"/>
        <w:jc w:val="both"/>
        <w:rPr>
          <w:rFonts w:ascii="Times New Roman" w:hAnsi="Times New Roman" w:cs="Times New Roman"/>
          <w:sz w:val="28"/>
          <w:szCs w:val="28"/>
        </w:rPr>
      </w:pPr>
      <w:r w:rsidRPr="00F230BA">
        <w:rPr>
          <w:rFonts w:ascii="Times New Roman" w:hAnsi="Times New Roman" w:cs="Times New Roman"/>
          <w:sz w:val="28"/>
          <w:szCs w:val="28"/>
        </w:rPr>
        <w:t xml:space="preserve">У хронологічному порядку, пояснюючи сутність форми, дослідники оперували такими термінами як брунькова варіація, насінна варіація, спортивне відхилення, мутація, велика мутація, химера, </w:t>
      </w:r>
      <w:proofErr w:type="spellStart"/>
      <w:r w:rsidRPr="00F230BA">
        <w:rPr>
          <w:rFonts w:ascii="Times New Roman" w:hAnsi="Times New Roman" w:cs="Times New Roman"/>
          <w:sz w:val="28"/>
          <w:szCs w:val="28"/>
        </w:rPr>
        <w:t>культивар</w:t>
      </w:r>
      <w:proofErr w:type="spellEnd"/>
      <w:r w:rsidRPr="00F230BA">
        <w:rPr>
          <w:rFonts w:ascii="Times New Roman" w:hAnsi="Times New Roman" w:cs="Times New Roman"/>
          <w:sz w:val="28"/>
          <w:szCs w:val="28"/>
        </w:rPr>
        <w:t xml:space="preserve">, мутанти й інші. З </w:t>
      </w:r>
      <w:r w:rsidRPr="00F230BA">
        <w:rPr>
          <w:rFonts w:ascii="Times New Roman" w:hAnsi="Times New Roman" w:cs="Times New Roman"/>
          <w:sz w:val="28"/>
          <w:szCs w:val="28"/>
        </w:rPr>
        <w:lastRenderedPageBreak/>
        <w:t>погляду сучасної науки висувається кілька положень про біологічну сутність форми, що вимагають подальших досліджень і доказів.</w:t>
      </w:r>
    </w:p>
    <w:p w:rsidR="008A78C4" w:rsidRPr="00F230BA" w:rsidRDefault="008A78C4" w:rsidP="00F230BA">
      <w:pPr>
        <w:spacing w:line="360" w:lineRule="auto"/>
        <w:ind w:firstLine="709"/>
        <w:jc w:val="both"/>
        <w:rPr>
          <w:rFonts w:ascii="Times New Roman" w:hAnsi="Times New Roman" w:cs="Times New Roman"/>
          <w:sz w:val="28"/>
          <w:szCs w:val="28"/>
        </w:rPr>
      </w:pPr>
      <w:r w:rsidRPr="00F230BA">
        <w:rPr>
          <w:rFonts w:ascii="Times New Roman" w:hAnsi="Times New Roman" w:cs="Times New Roman"/>
          <w:sz w:val="28"/>
          <w:szCs w:val="28"/>
        </w:rPr>
        <w:t xml:space="preserve">Якщо репродуктивна ізоляція основний критерій виду (що не завжди прийнятно), то цією особливістю повинна вирізнятися й форма, навіть більш строго ніж вид. При тому що основою генетики популяцій є закон </w:t>
      </w:r>
      <w:proofErr w:type="spellStart"/>
      <w:r w:rsidRPr="00F230BA">
        <w:rPr>
          <w:rFonts w:ascii="Times New Roman" w:hAnsi="Times New Roman" w:cs="Times New Roman"/>
          <w:sz w:val="28"/>
          <w:szCs w:val="28"/>
        </w:rPr>
        <w:t>Харді</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Вайнберга</w:t>
      </w:r>
      <w:proofErr w:type="spellEnd"/>
      <w:r w:rsidRPr="00F230BA">
        <w:rPr>
          <w:rFonts w:ascii="Times New Roman" w:hAnsi="Times New Roman" w:cs="Times New Roman"/>
          <w:sz w:val="28"/>
          <w:szCs w:val="28"/>
        </w:rPr>
        <w:t xml:space="preserve"> (про сталість домінантних і рецесивних </w:t>
      </w:r>
      <w:proofErr w:type="spellStart"/>
      <w:r w:rsidRPr="00F230BA">
        <w:rPr>
          <w:rFonts w:ascii="Times New Roman" w:hAnsi="Times New Roman" w:cs="Times New Roman"/>
          <w:sz w:val="28"/>
          <w:szCs w:val="28"/>
        </w:rPr>
        <w:t>алелей</w:t>
      </w:r>
      <w:proofErr w:type="spellEnd"/>
      <w:r w:rsidRPr="00F230BA">
        <w:rPr>
          <w:rFonts w:ascii="Times New Roman" w:hAnsi="Times New Roman" w:cs="Times New Roman"/>
          <w:sz w:val="28"/>
          <w:szCs w:val="28"/>
        </w:rPr>
        <w:t xml:space="preserve"> у великих популяціях), то причиною зміни </w:t>
      </w:r>
      <w:proofErr w:type="spellStart"/>
      <w:r w:rsidRPr="00F230BA">
        <w:rPr>
          <w:rFonts w:ascii="Times New Roman" w:hAnsi="Times New Roman" w:cs="Times New Roman"/>
          <w:sz w:val="28"/>
          <w:szCs w:val="28"/>
        </w:rPr>
        <w:t>алелей</w:t>
      </w:r>
      <w:proofErr w:type="spellEnd"/>
      <w:r w:rsidRPr="00F230BA">
        <w:rPr>
          <w:rFonts w:ascii="Times New Roman" w:hAnsi="Times New Roman" w:cs="Times New Roman"/>
          <w:sz w:val="28"/>
          <w:szCs w:val="28"/>
        </w:rPr>
        <w:t xml:space="preserve"> і відхилень від рівноваги можуть бути чотири головних чинники: величина популяції, міграція, мутаційний процес і добір (3). Ці чинники можуть бути основою для пояснення механізмів формоутворення й у рослин. Зменшення величини популяції до мінімуму може привести до того рівня споріднених схрещувань, при якому співвідношення рецесивних і домінантних </w:t>
      </w:r>
      <w:proofErr w:type="spellStart"/>
      <w:r w:rsidRPr="00F230BA">
        <w:rPr>
          <w:rFonts w:ascii="Times New Roman" w:hAnsi="Times New Roman" w:cs="Times New Roman"/>
          <w:sz w:val="28"/>
          <w:szCs w:val="28"/>
        </w:rPr>
        <w:t>алелей</w:t>
      </w:r>
      <w:proofErr w:type="spellEnd"/>
      <w:r w:rsidRPr="00F230BA">
        <w:rPr>
          <w:rFonts w:ascii="Times New Roman" w:hAnsi="Times New Roman" w:cs="Times New Roman"/>
          <w:sz w:val="28"/>
          <w:szCs w:val="28"/>
        </w:rPr>
        <w:t xml:space="preserve"> буде на користь перших. Зменшення популяцій часто відбувається за екстремальних умов з дією одного чи декількох лімітуючи чинників. Виникнення у згаданих умовах декоративних форм проходить із закріпленням ознак стійкості до цих чинників й може бути використане при озелененні об'єктів з схожими умовами. Наприклад, якщо карликовість рослини є результатом її адаптації до умов холодних зим та різких вітрів, то можна сподіватись на успішне культивування її при озелененні північних відкритих схилів, морозобійних місць і т.п. Міграція (у застосуванні до рослин це головним чином процес інтродукції), як і роботи на розсадниках також сприяють виникненню нових форм. При інтродукції й подальшому розмноженні рослин часто виникають декоративні форми, становлення яких є наслідком статистичної обробки отриманого матеріалу, що обов'язково потребує експериментального випробування в місцевих умовах. Мутаційний процес, загальновизнано, є головним постачальником еволюційного матеріалу для формоутворення, у т.ч. і високо декоративних садових форм. Добір з цих чинників є найважливішим. Так як доборові доступні тільки фенотипи, що у свою чергу мають конкретний генотип, то успіх фенотипу залежить як від форми добору, так і ступеня впливу ззовні. Досліджуючи механізми адаптації і </w:t>
      </w:r>
      <w:proofErr w:type="spellStart"/>
      <w:r w:rsidRPr="00F230BA">
        <w:rPr>
          <w:rFonts w:ascii="Times New Roman" w:hAnsi="Times New Roman" w:cs="Times New Roman"/>
          <w:sz w:val="28"/>
          <w:szCs w:val="28"/>
        </w:rPr>
        <w:t>преадаптацій</w:t>
      </w:r>
      <w:proofErr w:type="spellEnd"/>
      <w:r w:rsidRPr="00F230BA">
        <w:rPr>
          <w:rFonts w:ascii="Times New Roman" w:hAnsi="Times New Roman" w:cs="Times New Roman"/>
          <w:sz w:val="28"/>
          <w:szCs w:val="28"/>
        </w:rPr>
        <w:t xml:space="preserve"> у рослин, тобто вивчаючи схований резерв спадкової мінливості структурних і функціональних ознак (1), можна висунути положення про те, що </w:t>
      </w:r>
      <w:r w:rsidRPr="00F230BA">
        <w:rPr>
          <w:rFonts w:ascii="Times New Roman" w:hAnsi="Times New Roman" w:cs="Times New Roman"/>
          <w:sz w:val="28"/>
          <w:szCs w:val="28"/>
        </w:rPr>
        <w:lastRenderedPageBreak/>
        <w:t xml:space="preserve">форма не що інше, як екологічна преадаптація рослини до тих або інших умов зовнішнього середовища. Загальновизнано, що </w:t>
      </w:r>
      <w:proofErr w:type="spellStart"/>
      <w:r w:rsidRPr="00F230BA">
        <w:rPr>
          <w:rFonts w:ascii="Times New Roman" w:hAnsi="Times New Roman" w:cs="Times New Roman"/>
          <w:sz w:val="28"/>
          <w:szCs w:val="28"/>
        </w:rPr>
        <w:t>густооблиснені</w:t>
      </w:r>
      <w:proofErr w:type="spellEnd"/>
      <w:r w:rsidRPr="00F230BA">
        <w:rPr>
          <w:rFonts w:ascii="Times New Roman" w:hAnsi="Times New Roman" w:cs="Times New Roman"/>
          <w:sz w:val="28"/>
          <w:szCs w:val="28"/>
        </w:rPr>
        <w:t xml:space="preserve"> колоноподібні і пірамідальні форми дерев є досить газостійкими, тобто цю особливість можна вважати корисною преадаптацією при використанні таких форм в умовах забруднення навколишнього середовища токсичними газами промислових емісій і викидів автотранспорту. Час і місце прояву, плюс методи добору форми ці чинники визначають становлення форми і закріплення її у потомстві. Необхідно зауважити, що при природному доборі декоративна форма часто утворює свій екотип з спадково закріпленими морфологічними і фізіологічними ознаками. Такий добір треба вважати найперспективнішим шляхом розвитку, становлення та подальшого культивування декоративної форми. Штучний добір рослин потребує подальших довгострокових досліджень і спостережень за особливостями їх росту й розвитку перед тим як рекомендувати ту, чи іншу форму для широкого озеленення. Тому, як </w:t>
      </w:r>
      <w:proofErr w:type="spellStart"/>
      <w:r w:rsidRPr="00F230BA">
        <w:rPr>
          <w:rFonts w:ascii="Times New Roman" w:hAnsi="Times New Roman" w:cs="Times New Roman"/>
          <w:sz w:val="28"/>
          <w:szCs w:val="28"/>
        </w:rPr>
        <w:t>інтродуктор</w:t>
      </w:r>
      <w:proofErr w:type="spellEnd"/>
      <w:r w:rsidRPr="00F230BA">
        <w:rPr>
          <w:rFonts w:ascii="Times New Roman" w:hAnsi="Times New Roman" w:cs="Times New Roman"/>
          <w:sz w:val="28"/>
          <w:szCs w:val="28"/>
        </w:rPr>
        <w:t>, так і спеціаліст зеленого будівництва повинен звертати увагу на форму добору, походження рослини, щоб чітко уявляти її перспективи.</w:t>
      </w:r>
    </w:p>
    <w:p w:rsidR="002F1E71" w:rsidRPr="00F230BA" w:rsidRDefault="0077752F" w:rsidP="00F230BA">
      <w:pPr>
        <w:spacing w:line="360" w:lineRule="auto"/>
        <w:ind w:firstLine="709"/>
        <w:jc w:val="both"/>
        <w:rPr>
          <w:rFonts w:ascii="Times New Roman" w:hAnsi="Times New Roman" w:cs="Times New Roman"/>
          <w:sz w:val="28"/>
          <w:szCs w:val="28"/>
        </w:rPr>
      </w:pPr>
      <w:r w:rsidRPr="00F230BA">
        <w:rPr>
          <w:rFonts w:ascii="Times New Roman" w:hAnsi="Times New Roman" w:cs="Times New Roman"/>
          <w:sz w:val="28"/>
          <w:szCs w:val="28"/>
        </w:rPr>
        <w:t xml:space="preserve">У зв’язку з цим вивчення еколого-біологічних особливостей, перспектив інтродукції та використання різних видів та форм роду </w:t>
      </w:r>
      <w:r w:rsidRPr="00F230BA">
        <w:rPr>
          <w:rFonts w:ascii="Times New Roman" w:hAnsi="Times New Roman" w:cs="Times New Roman"/>
          <w:i/>
          <w:sz w:val="28"/>
          <w:szCs w:val="28"/>
        </w:rPr>
        <w:t>Prunus</w:t>
      </w:r>
      <w:r w:rsidRPr="00F230BA">
        <w:rPr>
          <w:rFonts w:ascii="Times New Roman" w:hAnsi="Times New Roman" w:cs="Times New Roman"/>
          <w:sz w:val="28"/>
          <w:szCs w:val="28"/>
        </w:rPr>
        <w:t xml:space="preserve"> L. у декоративному садівництві та зеленій архітектурі є досить актуальним.</w:t>
      </w:r>
    </w:p>
    <w:p w:rsidR="009358BC" w:rsidRPr="00F230BA" w:rsidRDefault="009358BC" w:rsidP="00F230BA">
      <w:pPr>
        <w:spacing w:line="360" w:lineRule="auto"/>
        <w:ind w:firstLine="709"/>
        <w:jc w:val="center"/>
        <w:rPr>
          <w:rFonts w:ascii="Times New Roman" w:hAnsi="Times New Roman" w:cs="Times New Roman"/>
          <w:b/>
          <w:sz w:val="28"/>
          <w:szCs w:val="28"/>
        </w:rPr>
      </w:pPr>
      <w:r w:rsidRPr="00F230BA">
        <w:rPr>
          <w:rFonts w:ascii="Times New Roman" w:hAnsi="Times New Roman" w:cs="Times New Roman"/>
          <w:b/>
          <w:sz w:val="28"/>
          <w:szCs w:val="28"/>
        </w:rPr>
        <w:t>Список використаних джерел</w:t>
      </w:r>
    </w:p>
    <w:p w:rsidR="009358BC" w:rsidRPr="00F230BA" w:rsidRDefault="009358BC" w:rsidP="00F230BA">
      <w:pPr>
        <w:pStyle w:val="a3"/>
        <w:numPr>
          <w:ilvl w:val="0"/>
          <w:numId w:val="1"/>
        </w:numPr>
        <w:spacing w:line="360" w:lineRule="auto"/>
        <w:ind w:left="709" w:firstLine="357"/>
        <w:rPr>
          <w:rFonts w:ascii="Times New Roman" w:hAnsi="Times New Roman" w:cs="Times New Roman"/>
          <w:sz w:val="28"/>
          <w:szCs w:val="28"/>
        </w:rPr>
      </w:pPr>
      <w:proofErr w:type="spellStart"/>
      <w:r w:rsidRPr="00F230BA">
        <w:rPr>
          <w:rFonts w:ascii="Times New Roman" w:hAnsi="Times New Roman" w:cs="Times New Roman"/>
          <w:sz w:val="28"/>
          <w:szCs w:val="28"/>
        </w:rPr>
        <w:t>Takhtajan</w:t>
      </w:r>
      <w:proofErr w:type="spellEnd"/>
      <w:r w:rsidRPr="00F230BA">
        <w:rPr>
          <w:rFonts w:ascii="Times New Roman" w:hAnsi="Times New Roman" w:cs="Times New Roman"/>
          <w:sz w:val="28"/>
          <w:szCs w:val="28"/>
        </w:rPr>
        <w:t xml:space="preserve"> A.L. </w:t>
      </w:r>
      <w:proofErr w:type="spellStart"/>
      <w:r w:rsidRPr="00F230BA">
        <w:rPr>
          <w:rFonts w:ascii="Times New Roman" w:hAnsi="Times New Roman" w:cs="Times New Roman"/>
          <w:sz w:val="28"/>
          <w:szCs w:val="28"/>
        </w:rPr>
        <w:t>Flowering</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plants</w:t>
      </w:r>
      <w:proofErr w:type="spellEnd"/>
      <w:r w:rsidRPr="00F230BA">
        <w:rPr>
          <w:rFonts w:ascii="Times New Roman" w:hAnsi="Times New Roman" w:cs="Times New Roman"/>
          <w:sz w:val="28"/>
          <w:szCs w:val="28"/>
        </w:rPr>
        <w:t xml:space="preserve">. — N.Y.: </w:t>
      </w:r>
      <w:proofErr w:type="spellStart"/>
      <w:r w:rsidRPr="00F230BA">
        <w:rPr>
          <w:rFonts w:ascii="Times New Roman" w:hAnsi="Times New Roman" w:cs="Times New Roman"/>
          <w:sz w:val="28"/>
          <w:szCs w:val="28"/>
        </w:rPr>
        <w:t>Springer</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Science+Business</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Media</w:t>
      </w:r>
      <w:proofErr w:type="spellEnd"/>
      <w:r w:rsidRPr="00F230BA">
        <w:rPr>
          <w:rFonts w:ascii="Times New Roman" w:hAnsi="Times New Roman" w:cs="Times New Roman"/>
          <w:sz w:val="28"/>
          <w:szCs w:val="28"/>
        </w:rPr>
        <w:t>, 2009. — 871 p.</w:t>
      </w:r>
    </w:p>
    <w:p w:rsidR="009358BC" w:rsidRPr="00F230BA" w:rsidRDefault="009358BC" w:rsidP="00F230BA">
      <w:pPr>
        <w:pStyle w:val="a3"/>
        <w:numPr>
          <w:ilvl w:val="0"/>
          <w:numId w:val="1"/>
        </w:numPr>
        <w:spacing w:line="360" w:lineRule="auto"/>
        <w:ind w:left="709" w:firstLine="357"/>
        <w:jc w:val="both"/>
        <w:rPr>
          <w:rFonts w:ascii="Times New Roman" w:hAnsi="Times New Roman" w:cs="Times New Roman"/>
          <w:sz w:val="28"/>
          <w:szCs w:val="28"/>
        </w:rPr>
      </w:pPr>
      <w:r w:rsidRPr="00F230BA">
        <w:rPr>
          <w:rFonts w:ascii="Times New Roman" w:hAnsi="Times New Roman" w:cs="Times New Roman"/>
          <w:sz w:val="28"/>
          <w:szCs w:val="28"/>
        </w:rPr>
        <w:t>14.</w:t>
      </w:r>
      <w:r w:rsidRPr="00F230BA">
        <w:rPr>
          <w:rFonts w:ascii="Times New Roman" w:hAnsi="Times New Roman" w:cs="Times New Roman"/>
          <w:sz w:val="28"/>
          <w:szCs w:val="28"/>
        </w:rPr>
        <w:tab/>
      </w:r>
      <w:proofErr w:type="spellStart"/>
      <w:r w:rsidRPr="00F230BA">
        <w:rPr>
          <w:rFonts w:ascii="Times New Roman" w:hAnsi="Times New Roman" w:cs="Times New Roman"/>
          <w:sz w:val="28"/>
          <w:szCs w:val="28"/>
        </w:rPr>
        <w:t>The</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Plant</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List</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is</w:t>
      </w:r>
      <w:proofErr w:type="spellEnd"/>
      <w:r w:rsidRPr="00F230BA">
        <w:rPr>
          <w:rFonts w:ascii="Times New Roman" w:hAnsi="Times New Roman" w:cs="Times New Roman"/>
          <w:sz w:val="28"/>
          <w:szCs w:val="28"/>
        </w:rPr>
        <w:t xml:space="preserve"> a </w:t>
      </w:r>
      <w:proofErr w:type="spellStart"/>
      <w:r w:rsidRPr="00F230BA">
        <w:rPr>
          <w:rFonts w:ascii="Times New Roman" w:hAnsi="Times New Roman" w:cs="Times New Roman"/>
          <w:sz w:val="28"/>
          <w:szCs w:val="28"/>
        </w:rPr>
        <w:t>working</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list</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of</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all</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known</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plant</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species</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Version</w:t>
      </w:r>
      <w:proofErr w:type="spellEnd"/>
      <w:r w:rsidRPr="00F230BA">
        <w:rPr>
          <w:rFonts w:ascii="Times New Roman" w:hAnsi="Times New Roman" w:cs="Times New Roman"/>
          <w:sz w:val="28"/>
          <w:szCs w:val="28"/>
        </w:rPr>
        <w:t xml:space="preserve"> 1.1. </w:t>
      </w:r>
      <w:proofErr w:type="spellStart"/>
      <w:r w:rsidRPr="00F230BA">
        <w:rPr>
          <w:rFonts w:ascii="Times New Roman" w:hAnsi="Times New Roman" w:cs="Times New Roman"/>
          <w:sz w:val="28"/>
          <w:szCs w:val="28"/>
        </w:rPr>
        <w:t>September</w:t>
      </w:r>
      <w:proofErr w:type="spellEnd"/>
      <w:r w:rsidRPr="00F230BA">
        <w:rPr>
          <w:rFonts w:ascii="Times New Roman" w:hAnsi="Times New Roman" w:cs="Times New Roman"/>
          <w:sz w:val="28"/>
          <w:szCs w:val="28"/>
        </w:rPr>
        <w:t xml:space="preserve"> 2013 [</w:t>
      </w:r>
      <w:proofErr w:type="spellStart"/>
      <w:r w:rsidRPr="00F230BA">
        <w:rPr>
          <w:rFonts w:ascii="Times New Roman" w:hAnsi="Times New Roman" w:cs="Times New Roman"/>
          <w:sz w:val="28"/>
          <w:szCs w:val="28"/>
        </w:rPr>
        <w:t>Electronic</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Resource</w:t>
      </w:r>
      <w:proofErr w:type="spellEnd"/>
      <w:r w:rsidRPr="00F230BA">
        <w:rPr>
          <w:rFonts w:ascii="Times New Roman" w:hAnsi="Times New Roman" w:cs="Times New Roman"/>
          <w:sz w:val="28"/>
          <w:szCs w:val="28"/>
        </w:rPr>
        <w:t xml:space="preserve">]. — </w:t>
      </w:r>
      <w:proofErr w:type="spellStart"/>
      <w:r w:rsidRPr="00F230BA">
        <w:rPr>
          <w:rFonts w:ascii="Times New Roman" w:hAnsi="Times New Roman" w:cs="Times New Roman"/>
          <w:sz w:val="28"/>
          <w:szCs w:val="28"/>
        </w:rPr>
        <w:t>Retrieved</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from</w:t>
      </w:r>
      <w:proofErr w:type="spellEnd"/>
      <w:r w:rsidRPr="00F230BA">
        <w:rPr>
          <w:rFonts w:ascii="Times New Roman" w:hAnsi="Times New Roman" w:cs="Times New Roman"/>
          <w:sz w:val="28"/>
          <w:szCs w:val="28"/>
        </w:rPr>
        <w:t xml:space="preserve"> URL: </w:t>
      </w:r>
      <w:hyperlink r:id="rId6" w:history="1">
        <w:r w:rsidRPr="00F230BA">
          <w:rPr>
            <w:rStyle w:val="a4"/>
            <w:rFonts w:ascii="Times New Roman" w:hAnsi="Times New Roman" w:cs="Times New Roman"/>
            <w:sz w:val="28"/>
            <w:szCs w:val="28"/>
          </w:rPr>
          <w:t>http://www.theplantlist.org/1.1/browse/A/Rosaceae/Prunus/</w:t>
        </w:r>
      </w:hyperlink>
    </w:p>
    <w:p w:rsidR="009358BC" w:rsidRPr="00F230BA" w:rsidRDefault="009358BC" w:rsidP="00F230BA">
      <w:pPr>
        <w:pStyle w:val="a3"/>
        <w:numPr>
          <w:ilvl w:val="0"/>
          <w:numId w:val="1"/>
        </w:numPr>
        <w:spacing w:line="360" w:lineRule="auto"/>
        <w:ind w:left="709" w:firstLine="357"/>
        <w:jc w:val="both"/>
        <w:rPr>
          <w:rFonts w:ascii="Times New Roman" w:hAnsi="Times New Roman" w:cs="Times New Roman"/>
          <w:sz w:val="28"/>
          <w:szCs w:val="28"/>
        </w:rPr>
      </w:pPr>
      <w:r w:rsidRPr="00F230BA">
        <w:rPr>
          <w:rFonts w:ascii="Times New Roman" w:hAnsi="Times New Roman" w:cs="Times New Roman"/>
          <w:sz w:val="28"/>
          <w:szCs w:val="28"/>
        </w:rPr>
        <w:t>16.</w:t>
      </w:r>
      <w:r w:rsidRPr="00F230BA">
        <w:rPr>
          <w:rFonts w:ascii="Times New Roman" w:hAnsi="Times New Roman" w:cs="Times New Roman"/>
          <w:sz w:val="28"/>
          <w:szCs w:val="28"/>
        </w:rPr>
        <w:tab/>
      </w:r>
      <w:proofErr w:type="spellStart"/>
      <w:r w:rsidRPr="00F230BA">
        <w:rPr>
          <w:rFonts w:ascii="Times New Roman" w:hAnsi="Times New Roman" w:cs="Times New Roman"/>
          <w:sz w:val="28"/>
          <w:szCs w:val="28"/>
        </w:rPr>
        <w:t>Catalogue</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of</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Life</w:t>
      </w:r>
      <w:proofErr w:type="spellEnd"/>
      <w:r w:rsidRPr="00F230BA">
        <w:rPr>
          <w:rFonts w:ascii="Times New Roman" w:hAnsi="Times New Roman" w:cs="Times New Roman"/>
          <w:sz w:val="28"/>
          <w:szCs w:val="28"/>
        </w:rPr>
        <w:t xml:space="preserve">: 2015 </w:t>
      </w:r>
      <w:proofErr w:type="spellStart"/>
      <w:r w:rsidRPr="00F230BA">
        <w:rPr>
          <w:rFonts w:ascii="Times New Roman" w:hAnsi="Times New Roman" w:cs="Times New Roman"/>
          <w:sz w:val="28"/>
          <w:szCs w:val="28"/>
        </w:rPr>
        <w:t>Annual</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Checklist</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Electronic</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Resource</w:t>
      </w:r>
      <w:proofErr w:type="spellEnd"/>
      <w:r w:rsidRPr="00F230BA">
        <w:rPr>
          <w:rFonts w:ascii="Times New Roman" w:hAnsi="Times New Roman" w:cs="Times New Roman"/>
          <w:sz w:val="28"/>
          <w:szCs w:val="28"/>
        </w:rPr>
        <w:t xml:space="preserve">]. — </w:t>
      </w:r>
      <w:proofErr w:type="spellStart"/>
      <w:r w:rsidRPr="00F230BA">
        <w:rPr>
          <w:rFonts w:ascii="Times New Roman" w:hAnsi="Times New Roman" w:cs="Times New Roman"/>
          <w:sz w:val="28"/>
          <w:szCs w:val="28"/>
        </w:rPr>
        <w:t>Retrieved</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from</w:t>
      </w:r>
      <w:proofErr w:type="spellEnd"/>
      <w:r w:rsidRPr="00F230BA">
        <w:rPr>
          <w:rFonts w:ascii="Times New Roman" w:hAnsi="Times New Roman" w:cs="Times New Roman"/>
          <w:sz w:val="28"/>
          <w:szCs w:val="28"/>
        </w:rPr>
        <w:t xml:space="preserve"> URL: </w:t>
      </w:r>
      <w:hyperlink r:id="rId7" w:history="1">
        <w:r w:rsidRPr="00F230BA">
          <w:rPr>
            <w:rStyle w:val="a4"/>
            <w:rFonts w:ascii="Times New Roman" w:hAnsi="Times New Roman" w:cs="Times New Roman"/>
            <w:sz w:val="28"/>
            <w:szCs w:val="28"/>
          </w:rPr>
          <w:t>http://www.catalogueoflife.org/annual-checklist/2015/search/all/key/Prunus/match/1</w:t>
        </w:r>
      </w:hyperlink>
    </w:p>
    <w:p w:rsidR="009358BC" w:rsidRPr="00F230BA" w:rsidRDefault="009358BC" w:rsidP="00F230BA">
      <w:pPr>
        <w:pStyle w:val="a3"/>
        <w:numPr>
          <w:ilvl w:val="0"/>
          <w:numId w:val="1"/>
        </w:numPr>
        <w:spacing w:line="360" w:lineRule="auto"/>
        <w:ind w:left="709" w:firstLine="357"/>
        <w:jc w:val="both"/>
        <w:rPr>
          <w:rFonts w:ascii="Times New Roman" w:hAnsi="Times New Roman" w:cs="Times New Roman"/>
          <w:sz w:val="28"/>
          <w:szCs w:val="28"/>
        </w:rPr>
      </w:pPr>
      <w:proofErr w:type="spellStart"/>
      <w:r w:rsidRPr="00F230BA">
        <w:rPr>
          <w:rFonts w:ascii="Times New Roman" w:hAnsi="Times New Roman" w:cs="Times New Roman"/>
          <w:sz w:val="28"/>
          <w:szCs w:val="28"/>
        </w:rPr>
        <w:t>Деревья</w:t>
      </w:r>
      <w:proofErr w:type="spellEnd"/>
      <w:r w:rsidRPr="00F230BA">
        <w:rPr>
          <w:rFonts w:ascii="Times New Roman" w:hAnsi="Times New Roman" w:cs="Times New Roman"/>
          <w:sz w:val="28"/>
          <w:szCs w:val="28"/>
        </w:rPr>
        <w:t xml:space="preserve"> и </w:t>
      </w:r>
      <w:proofErr w:type="spellStart"/>
      <w:r w:rsidRPr="00F230BA">
        <w:rPr>
          <w:rFonts w:ascii="Times New Roman" w:hAnsi="Times New Roman" w:cs="Times New Roman"/>
          <w:sz w:val="28"/>
          <w:szCs w:val="28"/>
        </w:rPr>
        <w:t>кустарники</w:t>
      </w:r>
      <w:proofErr w:type="spellEnd"/>
      <w:r w:rsidRPr="00F230BA">
        <w:rPr>
          <w:rFonts w:ascii="Times New Roman" w:hAnsi="Times New Roman" w:cs="Times New Roman"/>
          <w:sz w:val="28"/>
          <w:szCs w:val="28"/>
        </w:rPr>
        <w:t xml:space="preserve"> в </w:t>
      </w:r>
      <w:proofErr w:type="spellStart"/>
      <w:r w:rsidRPr="00F230BA">
        <w:rPr>
          <w:rFonts w:ascii="Times New Roman" w:hAnsi="Times New Roman" w:cs="Times New Roman"/>
          <w:sz w:val="28"/>
          <w:szCs w:val="28"/>
        </w:rPr>
        <w:t>ландшафтной</w:t>
      </w:r>
      <w:proofErr w:type="spellEnd"/>
      <w:r w:rsidRPr="00F230BA">
        <w:rPr>
          <w:rFonts w:ascii="Times New Roman" w:hAnsi="Times New Roman" w:cs="Times New Roman"/>
          <w:sz w:val="28"/>
          <w:szCs w:val="28"/>
        </w:rPr>
        <w:t xml:space="preserve"> </w:t>
      </w:r>
      <w:proofErr w:type="spellStart"/>
      <w:r w:rsidRPr="00F230BA">
        <w:rPr>
          <w:rFonts w:ascii="Times New Roman" w:hAnsi="Times New Roman" w:cs="Times New Roman"/>
          <w:sz w:val="28"/>
          <w:szCs w:val="28"/>
        </w:rPr>
        <w:t>архитектуре</w:t>
      </w:r>
      <w:proofErr w:type="spellEnd"/>
      <w:r w:rsidRPr="00F230BA">
        <w:rPr>
          <w:rFonts w:ascii="Times New Roman" w:hAnsi="Times New Roman" w:cs="Times New Roman"/>
          <w:sz w:val="28"/>
          <w:szCs w:val="28"/>
        </w:rPr>
        <w:t xml:space="preserve"> : </w:t>
      </w:r>
      <w:proofErr w:type="spellStart"/>
      <w:r w:rsidRPr="00F230BA">
        <w:rPr>
          <w:rFonts w:ascii="Times New Roman" w:hAnsi="Times New Roman" w:cs="Times New Roman"/>
          <w:sz w:val="28"/>
          <w:szCs w:val="28"/>
        </w:rPr>
        <w:t>Справочник</w:t>
      </w:r>
      <w:proofErr w:type="spellEnd"/>
      <w:r w:rsidRPr="00F230BA">
        <w:rPr>
          <w:rFonts w:ascii="Times New Roman" w:hAnsi="Times New Roman" w:cs="Times New Roman"/>
          <w:sz w:val="28"/>
          <w:szCs w:val="28"/>
        </w:rPr>
        <w:t xml:space="preserve"> / Л. И. </w:t>
      </w:r>
      <w:proofErr w:type="spellStart"/>
      <w:r w:rsidRPr="00F230BA">
        <w:rPr>
          <w:rFonts w:ascii="Times New Roman" w:hAnsi="Times New Roman" w:cs="Times New Roman"/>
          <w:sz w:val="28"/>
          <w:szCs w:val="28"/>
        </w:rPr>
        <w:t>Рубцов</w:t>
      </w:r>
      <w:proofErr w:type="spellEnd"/>
      <w:r w:rsidRPr="00F230BA">
        <w:rPr>
          <w:rFonts w:ascii="Times New Roman" w:hAnsi="Times New Roman" w:cs="Times New Roman"/>
          <w:sz w:val="28"/>
          <w:szCs w:val="28"/>
        </w:rPr>
        <w:t xml:space="preserve">. — </w:t>
      </w:r>
      <w:proofErr w:type="spellStart"/>
      <w:r w:rsidRPr="00F230BA">
        <w:rPr>
          <w:rFonts w:ascii="Times New Roman" w:hAnsi="Times New Roman" w:cs="Times New Roman"/>
          <w:sz w:val="28"/>
          <w:szCs w:val="28"/>
        </w:rPr>
        <w:t>Киев</w:t>
      </w:r>
      <w:proofErr w:type="spellEnd"/>
      <w:r w:rsidRPr="00F230BA">
        <w:rPr>
          <w:rFonts w:ascii="Times New Roman" w:hAnsi="Times New Roman" w:cs="Times New Roman"/>
          <w:sz w:val="28"/>
          <w:szCs w:val="28"/>
        </w:rPr>
        <w:t xml:space="preserve"> : «Наукова думка», 1977. — 272 с.</w:t>
      </w:r>
    </w:p>
    <w:sectPr w:rsidR="009358BC" w:rsidRPr="00F230B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653FF3"/>
    <w:multiLevelType w:val="hybridMultilevel"/>
    <w:tmpl w:val="83748BEE"/>
    <w:lvl w:ilvl="0" w:tplc="68F6025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2DC"/>
    <w:rsid w:val="00254F1B"/>
    <w:rsid w:val="002F1E71"/>
    <w:rsid w:val="00334D52"/>
    <w:rsid w:val="00401F41"/>
    <w:rsid w:val="00433E89"/>
    <w:rsid w:val="004769E2"/>
    <w:rsid w:val="004F45A3"/>
    <w:rsid w:val="005D56B8"/>
    <w:rsid w:val="00662BAA"/>
    <w:rsid w:val="006759E1"/>
    <w:rsid w:val="006A00EC"/>
    <w:rsid w:val="006F2D06"/>
    <w:rsid w:val="0077752F"/>
    <w:rsid w:val="00834F04"/>
    <w:rsid w:val="008A59AB"/>
    <w:rsid w:val="008A78C4"/>
    <w:rsid w:val="00902623"/>
    <w:rsid w:val="009322DC"/>
    <w:rsid w:val="009358BC"/>
    <w:rsid w:val="009B7C36"/>
    <w:rsid w:val="009E1120"/>
    <w:rsid w:val="00A62B8C"/>
    <w:rsid w:val="00AC5D8A"/>
    <w:rsid w:val="00AE28FF"/>
    <w:rsid w:val="00B03F72"/>
    <w:rsid w:val="00B15DAE"/>
    <w:rsid w:val="00BD489E"/>
    <w:rsid w:val="00BF39CD"/>
    <w:rsid w:val="00C10242"/>
    <w:rsid w:val="00C46579"/>
    <w:rsid w:val="00D052D5"/>
    <w:rsid w:val="00D47CB8"/>
    <w:rsid w:val="00DA387C"/>
    <w:rsid w:val="00E33427"/>
    <w:rsid w:val="00EF4565"/>
    <w:rsid w:val="00F230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58BC"/>
    <w:pPr>
      <w:ind w:left="720"/>
      <w:contextualSpacing/>
    </w:pPr>
  </w:style>
  <w:style w:type="character" w:styleId="a4">
    <w:name w:val="Hyperlink"/>
    <w:basedOn w:val="a0"/>
    <w:uiPriority w:val="99"/>
    <w:unhideWhenUsed/>
    <w:rsid w:val="009358B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58BC"/>
    <w:pPr>
      <w:ind w:left="720"/>
      <w:contextualSpacing/>
    </w:pPr>
  </w:style>
  <w:style w:type="character" w:styleId="a4">
    <w:name w:val="Hyperlink"/>
    <w:basedOn w:val="a0"/>
    <w:uiPriority w:val="99"/>
    <w:unhideWhenUsed/>
    <w:rsid w:val="009358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catalogueoflife.org/annual-checklist/2015/search/all/key/Prunus/match/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heplantlist.org/1.1/browse/A/Rosaceae/Prunu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5</Pages>
  <Words>6447</Words>
  <Characters>3675</Characters>
  <Application>Microsoft Office Word</Application>
  <DocSecurity>0</DocSecurity>
  <Lines>30</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2016-02-22T13:18:00Z</dcterms:created>
  <dcterms:modified xsi:type="dcterms:W3CDTF">2016-02-22T14:40:00Z</dcterms:modified>
</cp:coreProperties>
</file>