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C7991" w:rsidRDefault="002C7991" w:rsidP="002C7991">
      <w:pPr>
        <w:spacing w:line="352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УДК 37(08)</w:t>
      </w:r>
    </w:p>
    <w:p w:rsidR="002C7991" w:rsidRDefault="002C7991" w:rsidP="002C7991">
      <w:pPr>
        <w:spacing w:line="352" w:lineRule="auto"/>
        <w:ind w:firstLine="709"/>
        <w:jc w:val="center"/>
        <w:rPr>
          <w:b/>
          <w:sz w:val="28"/>
          <w:szCs w:val="28"/>
        </w:rPr>
      </w:pPr>
      <w:r w:rsidRPr="002C7991">
        <w:rPr>
          <w:b/>
          <w:sz w:val="28"/>
          <w:szCs w:val="28"/>
        </w:rPr>
        <w:t xml:space="preserve">РОЛЬ КИЇВСЬКОГО УНІВЕРСИТЕТУ СВ.ВОЛОДИМИРА </w:t>
      </w:r>
    </w:p>
    <w:p w:rsidR="002C7991" w:rsidRDefault="002C7991" w:rsidP="002C7991">
      <w:pPr>
        <w:spacing w:line="352" w:lineRule="auto"/>
        <w:ind w:firstLine="709"/>
        <w:jc w:val="center"/>
        <w:rPr>
          <w:b/>
          <w:sz w:val="28"/>
          <w:szCs w:val="28"/>
        </w:rPr>
      </w:pPr>
      <w:r w:rsidRPr="002C7991">
        <w:rPr>
          <w:b/>
          <w:sz w:val="28"/>
          <w:szCs w:val="28"/>
        </w:rPr>
        <w:t>У ФОРМУВАННІ ОСОБИСТОСТІ В.П.НАУМЕНКА (1852-1919)</w:t>
      </w:r>
    </w:p>
    <w:p w:rsidR="002C7991" w:rsidRDefault="002C7991" w:rsidP="002C7991">
      <w:pPr>
        <w:spacing w:line="352" w:lineRule="auto"/>
        <w:ind w:firstLine="709"/>
        <w:jc w:val="center"/>
        <w:rPr>
          <w:sz w:val="28"/>
          <w:szCs w:val="28"/>
        </w:rPr>
      </w:pPr>
      <w:r>
        <w:rPr>
          <w:b/>
          <w:sz w:val="28"/>
          <w:szCs w:val="28"/>
        </w:rPr>
        <w:t>Албул Ірина Володимирівна</w:t>
      </w:r>
      <w:r w:rsidRPr="002C7991">
        <w:rPr>
          <w:sz w:val="28"/>
          <w:szCs w:val="28"/>
        </w:rPr>
        <w:t xml:space="preserve"> </w:t>
      </w:r>
    </w:p>
    <w:p w:rsidR="002C7991" w:rsidRDefault="002C7991" w:rsidP="002C7991">
      <w:pPr>
        <w:spacing w:line="352" w:lineRule="auto"/>
        <w:ind w:firstLine="709"/>
        <w:jc w:val="center"/>
        <w:rPr>
          <w:sz w:val="28"/>
          <w:szCs w:val="28"/>
        </w:rPr>
      </w:pPr>
      <w:r w:rsidRPr="002C7991">
        <w:rPr>
          <w:sz w:val="28"/>
          <w:szCs w:val="28"/>
        </w:rPr>
        <w:t xml:space="preserve">Уманський державний педагогічний університет імені Павла Тичини, </w:t>
      </w:r>
    </w:p>
    <w:p w:rsidR="002C7991" w:rsidRDefault="002C7991" w:rsidP="002C7991">
      <w:pPr>
        <w:spacing w:line="352" w:lineRule="auto"/>
        <w:ind w:firstLine="709"/>
        <w:jc w:val="center"/>
        <w:rPr>
          <w:sz w:val="28"/>
          <w:szCs w:val="28"/>
        </w:rPr>
      </w:pPr>
      <w:r>
        <w:rPr>
          <w:sz w:val="28"/>
          <w:szCs w:val="28"/>
        </w:rPr>
        <w:t>кафедра соціальної педагогіки та соціальної роботи,</w:t>
      </w:r>
    </w:p>
    <w:p w:rsidR="002C7991" w:rsidRPr="002C7991" w:rsidRDefault="002C7991" w:rsidP="002C7991">
      <w:pPr>
        <w:spacing w:line="352" w:lineRule="auto"/>
        <w:ind w:firstLine="709"/>
        <w:jc w:val="center"/>
        <w:rPr>
          <w:sz w:val="28"/>
          <w:szCs w:val="28"/>
        </w:rPr>
      </w:pPr>
      <w:r w:rsidRPr="002C7991">
        <w:rPr>
          <w:sz w:val="28"/>
          <w:szCs w:val="28"/>
        </w:rPr>
        <w:t>м.Умань, вул.Садова,28</w:t>
      </w:r>
    </w:p>
    <w:p w:rsidR="002C7991" w:rsidRDefault="001947C0" w:rsidP="00F8790A">
      <w:pPr>
        <w:spacing w:line="352" w:lineRule="auto"/>
        <w:ind w:firstLine="709"/>
        <w:jc w:val="both"/>
        <w:rPr>
          <w:sz w:val="28"/>
          <w:szCs w:val="28"/>
        </w:rPr>
      </w:pPr>
      <w:r w:rsidRPr="001947C0">
        <w:rPr>
          <w:sz w:val="28"/>
          <w:szCs w:val="28"/>
        </w:rPr>
        <w:t>Київський університет після Московського, Казанського, Дерптського, Харківського й Петербурзького був шостим у царській Росії. Царизм намагався зробити цей ВНЗ оплотом монархічних ідей і рксифікації неруських народів. Однак, Київський університе</w:t>
      </w:r>
      <w:r>
        <w:rPr>
          <w:sz w:val="28"/>
          <w:szCs w:val="28"/>
        </w:rPr>
        <w:t>т</w:t>
      </w:r>
      <w:r w:rsidRPr="001947C0">
        <w:rPr>
          <w:sz w:val="28"/>
          <w:szCs w:val="28"/>
        </w:rPr>
        <w:t xml:space="preserve"> став справжнім центром науки і осередком визвольного руху в Україні.</w:t>
      </w:r>
      <w:r>
        <w:rPr>
          <w:sz w:val="28"/>
          <w:szCs w:val="28"/>
        </w:rPr>
        <w:t xml:space="preserve"> Значна частина представників української прогресивної інтелігенції другої половини ХІХ – першої половини ХХ століття були саме вихідці з цього навчального закладу. </w:t>
      </w:r>
    </w:p>
    <w:p w:rsidR="001947C0" w:rsidRPr="001947C0" w:rsidRDefault="001947C0" w:rsidP="00F8790A">
      <w:pPr>
        <w:spacing w:line="352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Київський університет св.Володимира займав окрему сторінку в літописі життя і Володимира Павловича На</w:t>
      </w:r>
      <w:r w:rsidR="00FD6598">
        <w:rPr>
          <w:sz w:val="28"/>
          <w:szCs w:val="28"/>
        </w:rPr>
        <w:t>у</w:t>
      </w:r>
      <w:r>
        <w:rPr>
          <w:sz w:val="28"/>
          <w:szCs w:val="28"/>
        </w:rPr>
        <w:t xml:space="preserve">менка – </w:t>
      </w:r>
      <w:r w:rsidRPr="0072287D">
        <w:rPr>
          <w:sz w:val="28"/>
          <w:szCs w:val="28"/>
        </w:rPr>
        <w:t>вчител</w:t>
      </w:r>
      <w:r>
        <w:rPr>
          <w:sz w:val="28"/>
          <w:szCs w:val="28"/>
        </w:rPr>
        <w:t>я</w:t>
      </w:r>
      <w:r w:rsidRPr="0072287D">
        <w:rPr>
          <w:sz w:val="28"/>
          <w:szCs w:val="28"/>
        </w:rPr>
        <w:t xml:space="preserve"> і методист</w:t>
      </w:r>
      <w:r>
        <w:rPr>
          <w:sz w:val="28"/>
          <w:szCs w:val="28"/>
        </w:rPr>
        <w:t>а</w:t>
      </w:r>
      <w:r w:rsidRPr="0072287D">
        <w:rPr>
          <w:sz w:val="28"/>
          <w:szCs w:val="28"/>
        </w:rPr>
        <w:t>, редактор</w:t>
      </w:r>
      <w:r>
        <w:rPr>
          <w:sz w:val="28"/>
          <w:szCs w:val="28"/>
        </w:rPr>
        <w:t>а</w:t>
      </w:r>
      <w:r w:rsidRPr="0072287D">
        <w:rPr>
          <w:sz w:val="28"/>
          <w:szCs w:val="28"/>
        </w:rPr>
        <w:t xml:space="preserve"> і видавц</w:t>
      </w:r>
      <w:r>
        <w:rPr>
          <w:sz w:val="28"/>
          <w:szCs w:val="28"/>
        </w:rPr>
        <w:t>я</w:t>
      </w:r>
      <w:r w:rsidRPr="0072287D">
        <w:rPr>
          <w:sz w:val="28"/>
          <w:szCs w:val="28"/>
        </w:rPr>
        <w:t xml:space="preserve">, </w:t>
      </w:r>
      <w:r>
        <w:rPr>
          <w:sz w:val="28"/>
          <w:szCs w:val="28"/>
        </w:rPr>
        <w:t>у</w:t>
      </w:r>
      <w:r w:rsidRPr="0072287D">
        <w:rPr>
          <w:sz w:val="28"/>
          <w:szCs w:val="28"/>
        </w:rPr>
        <w:t>чен</w:t>
      </w:r>
      <w:r>
        <w:rPr>
          <w:sz w:val="28"/>
          <w:szCs w:val="28"/>
        </w:rPr>
        <w:t xml:space="preserve">ого </w:t>
      </w:r>
      <w:r w:rsidRPr="0072287D">
        <w:rPr>
          <w:sz w:val="28"/>
          <w:szCs w:val="28"/>
        </w:rPr>
        <w:t>і політик</w:t>
      </w:r>
      <w:r>
        <w:rPr>
          <w:sz w:val="28"/>
          <w:szCs w:val="28"/>
        </w:rPr>
        <w:t>а</w:t>
      </w:r>
      <w:r w:rsidRPr="0072287D">
        <w:rPr>
          <w:sz w:val="28"/>
          <w:szCs w:val="28"/>
        </w:rPr>
        <w:t>, просвітител</w:t>
      </w:r>
      <w:r>
        <w:rPr>
          <w:sz w:val="28"/>
          <w:szCs w:val="28"/>
        </w:rPr>
        <w:t>я</w:t>
      </w:r>
      <w:r w:rsidRPr="0072287D">
        <w:rPr>
          <w:sz w:val="28"/>
          <w:szCs w:val="28"/>
        </w:rPr>
        <w:t xml:space="preserve"> і активн</w:t>
      </w:r>
      <w:r>
        <w:rPr>
          <w:sz w:val="28"/>
          <w:szCs w:val="28"/>
        </w:rPr>
        <w:t>ого</w:t>
      </w:r>
      <w:r w:rsidRPr="0072287D">
        <w:rPr>
          <w:sz w:val="28"/>
          <w:szCs w:val="28"/>
        </w:rPr>
        <w:t xml:space="preserve"> громадськ</w:t>
      </w:r>
      <w:r>
        <w:rPr>
          <w:sz w:val="28"/>
          <w:szCs w:val="28"/>
        </w:rPr>
        <w:t>ого</w:t>
      </w:r>
      <w:r w:rsidRPr="0072287D">
        <w:rPr>
          <w:sz w:val="28"/>
          <w:szCs w:val="28"/>
        </w:rPr>
        <w:t xml:space="preserve"> д</w:t>
      </w:r>
      <w:r>
        <w:rPr>
          <w:sz w:val="28"/>
          <w:szCs w:val="28"/>
        </w:rPr>
        <w:t>іяча.</w:t>
      </w:r>
    </w:p>
    <w:p w:rsidR="002C7991" w:rsidRDefault="002C7991" w:rsidP="002C7991">
      <w:pPr>
        <w:spacing w:line="352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У 1868 р., коли Володимиру щойно виповнилося 16 років, він вступив вільним слухачем до Університету Св. Володимира. Через рік його було зараховано до складу студентів слов’яно-російського відділення історико-філологічного факультету.</w:t>
      </w:r>
    </w:p>
    <w:p w:rsidR="002C7991" w:rsidRDefault="002C7991" w:rsidP="002C7991">
      <w:pPr>
        <w:spacing w:line="352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Київський університет виконував роль культурно-просвітницького та інтелектуального центру. У стінах університету працювали відомі у своїй галузі фахівці: викладачами історії філософії і педагогіки були С.Гогоцький і А.Козлов; грецьку мову викладали Ф.Міщенко і В.Аландський, латинську – І.Цвєтаєв; О.Котляревський викладав слов’янську філологію, а І.Хрущов та І.Жданов – історію російської мови та словесності; викладачем всесвітньої літератури був М.Дашкевич, всесвітньої історії – М.Драгоманов, Ф.Фортинський та І.Лучицький, російської історії – В.Антонович та І.Іконников, церковної історії – Ф.Терповський, теорії та історії мистецтв – П.Павлов [197, 4].</w:t>
      </w:r>
    </w:p>
    <w:p w:rsidR="002C7991" w:rsidRDefault="002C7991" w:rsidP="002C7991">
      <w:pPr>
        <w:spacing w:line="352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lastRenderedPageBreak/>
        <w:t>Значний вплив на формування особистості В.Науменка мали лекції та виступи викладачів – яскравих представників української прогресивної інтелігенції, прихильників та проводирів українського національно-просвітницького руху, зокрема, членів Київської громади: В.Антоновича, М.Драгоманова, І.Лучицького, Ф.Міщенка. „Межи професорами історико-філологічного факультету ... користувалися великою популярністю і пошаною серед студентства В.Антонович і М.Драгоманов, – писав М.Білінський – студенти поважали їх як людей, що всі свої сили присвятили науковій діяльності, і що в них разом з цим була велика прихильність до розвитку громадянства, до посування національної культури” [214, 403].</w:t>
      </w:r>
    </w:p>
    <w:p w:rsidR="002C7991" w:rsidRDefault="002C7991" w:rsidP="002C7991">
      <w:pPr>
        <w:spacing w:line="352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Особливе враження на студента Володимира Науменка справила перша університетська лекція, яку прочитав М.Драгоманов. Саме тоді В.Науменко зробив висновок, що для слухання серйозних лекцій потрібні навички, а результативне навчання потребує крім відвідування лекцій ще й самостійної роботи. Майбутній учений усвідомив необхідність критичної, вільної думки для справжньої науки.</w:t>
      </w:r>
    </w:p>
    <w:p w:rsidR="002C7991" w:rsidRDefault="002C7991" w:rsidP="002C7991">
      <w:pPr>
        <w:spacing w:line="360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Великий вплив на студентську молодь мали особисті переконання М.Драгоманова. Серед суспільних проблем, які цікавили викладача, окреме місце займало розв’язання федеративно-демократичного питання </w:t>
      </w:r>
      <w:r>
        <w:rPr>
          <w:spacing w:val="-4"/>
          <w:sz w:val="28"/>
          <w:szCs w:val="28"/>
        </w:rPr>
        <w:t>у всій Східній Європі, важливу роль у цій справі діяч відводив українцям, зокрема – киянам.</w:t>
      </w:r>
      <w:r>
        <w:rPr>
          <w:sz w:val="28"/>
          <w:szCs w:val="28"/>
        </w:rPr>
        <w:t xml:space="preserve"> Ця ідея М.Драгоманова вимагала політичної освіти, широкої обізнаності із західноєвропейською наукою, а також з історією та становищем своєї батьківщини. Однак, викладач не був прихильником „студентського політиканства”, він боровся за студентську самоосвіту, за створення студентських гуртків, метою діяльності яких було б вивчення своєї батьківщини [33, 162–163].</w:t>
      </w:r>
    </w:p>
    <w:p w:rsidR="002C7991" w:rsidRDefault="002C7991" w:rsidP="002C7991">
      <w:pPr>
        <w:spacing w:line="360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Упродовж навчання Володимир Науменко бере активну участь у студентських диспутах, проголошуючи на них яскраві промови, заглиблюється у вивчення літератури, історії, фольклору. Інтерес до історії та етнографії України був одним з визначальних чинників формування національного </w:t>
      </w:r>
      <w:r>
        <w:rPr>
          <w:sz w:val="28"/>
          <w:szCs w:val="28"/>
        </w:rPr>
        <w:lastRenderedPageBreak/>
        <w:t>світогляду В.Науменка та інших студентів університету періоду кінця ХІХ ст. У цей час відбувається усвідомлення українською інтелігенцією не тільки своєї етнічної, але й національної відмінності від інших націй. Дослідник Г.Касьянов підкреслює важливість доповнення емоційної мотивації (почуття, настрої) раціонально-інтелектуальними міркуваннями: „Емотивна сторона національної свідомості інтелігенції (любов до мови, національної культури, гордість за славне минуле) доповнювалася прагненням обґрунтувати її глибокими і змістовними знаннями про історію та культуру свого народу, тобто раціональними мотивами” [40, 25].</w:t>
      </w:r>
    </w:p>
    <w:p w:rsidR="002C7991" w:rsidRDefault="002C7991" w:rsidP="002C7991">
      <w:pPr>
        <w:spacing w:line="352" w:lineRule="auto"/>
        <w:ind w:firstLine="709"/>
        <w:jc w:val="both"/>
        <w:rPr>
          <w:sz w:val="28"/>
          <w:szCs w:val="28"/>
          <w:lang w:val="ru-RU"/>
        </w:rPr>
      </w:pPr>
      <w:r>
        <w:rPr>
          <w:sz w:val="28"/>
          <w:szCs w:val="28"/>
        </w:rPr>
        <w:t>Курс історії Давньої та Литовської Русі в Київському університеті Св. Володимира, починаючи з 1870 р., читав яскравий представник української прогресивної інтелігенції періоду українського відродження В.Антонович [214, 398–399; 229, 23–24]. Студенти з великою цікавістю поставилися до призначення нового лектора, адже В.Антонович уже тоді був відомим і як учений, і як громадський діяч. Значною мірою той інтерес був викликаний знайомством з працею В.Антоновича „</w:t>
      </w:r>
      <w:r>
        <w:rPr>
          <w:sz w:val="28"/>
          <w:szCs w:val="28"/>
          <w:lang w:val="ru-RU"/>
        </w:rPr>
        <w:t>Моя исповедь</w:t>
      </w:r>
      <w:r>
        <w:rPr>
          <w:sz w:val="28"/>
          <w:szCs w:val="28"/>
        </w:rPr>
        <w:t>”</w:t>
      </w:r>
      <w:r>
        <w:rPr>
          <w:sz w:val="28"/>
          <w:szCs w:val="28"/>
          <w:lang w:val="ru-RU"/>
        </w:rPr>
        <w:t xml:space="preserve"> </w:t>
      </w:r>
      <w:r>
        <w:rPr>
          <w:sz w:val="28"/>
          <w:szCs w:val="28"/>
        </w:rPr>
        <w:t xml:space="preserve">з яскраво вираженими ідеалами демократизму та прихильності до українського народу, що і було власне політичним кредо діяча </w:t>
      </w:r>
      <w:r>
        <w:rPr>
          <w:sz w:val="28"/>
          <w:szCs w:val="28"/>
          <w:lang w:val="ru-RU"/>
        </w:rPr>
        <w:t>[214, 399]. У</w:t>
      </w:r>
      <w:r>
        <w:rPr>
          <w:sz w:val="28"/>
          <w:szCs w:val="28"/>
        </w:rPr>
        <w:t xml:space="preserve">же на першій університетській лекції В.Антонович обґрунтував і своє викладацьке кредо, згідно якого обов’язковими він вважав енергійну працю, добросовісне ставлення до науки, об’єктивний </w:t>
      </w:r>
      <w:proofErr w:type="gramStart"/>
      <w:r>
        <w:rPr>
          <w:sz w:val="28"/>
          <w:szCs w:val="28"/>
        </w:rPr>
        <w:t>п</w:t>
      </w:r>
      <w:proofErr w:type="gramEnd"/>
      <w:r>
        <w:rPr>
          <w:sz w:val="28"/>
          <w:szCs w:val="28"/>
        </w:rPr>
        <w:t xml:space="preserve">ідхід до предмета своїх знань – історії рідного народу </w:t>
      </w:r>
      <w:r>
        <w:rPr>
          <w:sz w:val="28"/>
          <w:szCs w:val="28"/>
          <w:lang w:val="ru-RU"/>
        </w:rPr>
        <w:t>[229, 117]</w:t>
      </w:r>
      <w:r>
        <w:rPr>
          <w:sz w:val="28"/>
          <w:szCs w:val="28"/>
        </w:rPr>
        <w:t>. Не обмежуючись читанням лекцій, В.Антонович постійно намагався розвивати у своїх слухачів інтерес до самостійної науково-пошукової діяльності. Багато з тих студентів, які були першими слухачами В.Антоновича, заявили про себе як про серйозних дослідників. Серед найбільш відомих з них В.Щербина назвав і В.Науменка </w:t>
      </w:r>
      <w:r>
        <w:rPr>
          <w:sz w:val="28"/>
          <w:szCs w:val="28"/>
          <w:lang w:val="ru-RU"/>
        </w:rPr>
        <w:t>[214, 399].</w:t>
      </w:r>
    </w:p>
    <w:p w:rsidR="002C7991" w:rsidRDefault="002C7991" w:rsidP="002C7991">
      <w:pPr>
        <w:pStyle w:val="a3"/>
        <w:spacing w:line="352" w:lineRule="auto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Перші спроби самостійних наукових досліджень, зокрема, в галузі етнографії, Володимир робить під впливом колишнього ректора Київського університету Михайла Олександровича Максимовича. Володимира Науменка, як одного з кращих студентів, було рекомендовано стати репетитором сина </w:t>
      </w:r>
      <w:r>
        <w:rPr>
          <w:sz w:val="28"/>
          <w:szCs w:val="28"/>
        </w:rPr>
        <w:lastRenderedPageBreak/>
        <w:t>Михайла Олександровича – Олексія. Він старанно виконував свої обов’язки. Характер, зміст і результати такого наставництва виразно проявились у листуванні з М.Максимовичем: „З Альошею я продовжую займатись і дуже задоволений заняттями, так як я бачу бажання займатись у ньому самому. За ці три тижні в оцінках по журналу не було ні одного поганого балу” [281, 1].</w:t>
      </w:r>
    </w:p>
    <w:p w:rsidR="002C7991" w:rsidRDefault="002C7991" w:rsidP="002C7991">
      <w:pPr>
        <w:pStyle w:val="a3"/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>Таке спілкування мало велике значення для молодого студента. Адже ім’я М.Максимовича було легендою серед студентської молоді. Це був справжній учений-енциклопедист широкого діапазону – історик, літературознавець, фольклорист. Його збірки українських пісень мали велике значення в розвитку і становленні не одного покоління українських діячів. Під впливом збірок М.Максимовича формувався національний світогляд П.Куліша, М.Костомарова</w:t>
      </w:r>
      <w:r>
        <w:rPr>
          <w:sz w:val="28"/>
          <w:szCs w:val="28"/>
          <w:lang w:val="ru-RU"/>
        </w:rPr>
        <w:t> [16, 210]</w:t>
      </w:r>
      <w:r>
        <w:rPr>
          <w:sz w:val="28"/>
          <w:szCs w:val="28"/>
        </w:rPr>
        <w:t>. Творча спадщина ученого-етнографа відіграла визначаючу роль і у формуванні наукових інтересів В.Науменка. Свої літні канікули він використовував для збирання етнографічних матеріалів, які пізніше використав для складання українського словника.</w:t>
      </w:r>
    </w:p>
    <w:p w:rsidR="002C7991" w:rsidRDefault="002C7991" w:rsidP="002C7991">
      <w:pPr>
        <w:pStyle w:val="a3"/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>У своїх наукових пошуках Володимир Науменко звертався до М.Максимовича за порадами, високо цінуючи його авторитет і досвід. У листі від 4 листопада 1872 р. студент В.Науменко так писав до М.Максимовича: „Я розраховував користуватися Вашим керівництвом при написанні дисертації... Будьте такі добрі, напишіть мені усі джерела, якими я міг би скористатися для написання твору про Київське міщанство...” [282, 1]. Відомий учений виконав прохання студента, і вже в наступному листі від 1 грудня 1872 р. В.Науменко звертається до М.Максимовича з наступними словами: „Я дістав вже усі книги, вказані вами і тепер почну працювати разом для двох цілей: буду готуватися до екзамену і разом постараюсь написати дисертацію” [280, 1].</w:t>
      </w:r>
    </w:p>
    <w:p w:rsidR="002C7991" w:rsidRDefault="002C7991" w:rsidP="002C7991">
      <w:pPr>
        <w:spacing w:line="360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Київське студентство кінця ХІХ ст. відзначалося високою громадською активністю, яка проявлялась у діяльності просвітницьких організацій, зокрема, у діяльності Київської громади. Колективний світогляд громадівців визначав і процес формування світоглядних переконань своїх членів, їхній розвиток, </w:t>
      </w:r>
      <w:r>
        <w:rPr>
          <w:sz w:val="28"/>
          <w:szCs w:val="28"/>
        </w:rPr>
        <w:lastRenderedPageBreak/>
        <w:t>зміни. У 60-х роках ХІХ ст. під впливом ідей кирило-мефодіївців громадівці переймались ідеями свободи, народництва, просвітництва.</w:t>
      </w:r>
    </w:p>
    <w:p w:rsidR="002C7991" w:rsidRDefault="002C7991" w:rsidP="002C7991">
      <w:pPr>
        <w:spacing w:line="360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Однак, у процесі роботи, під впливом світової гуманістичної думки, громадівці виробляли власний погляд і власну позицію у справі пробудження народу. Ознайомлення з поглядами німецької класичної філософії, англійськими і французькими утопічними соціалістичними доктринами призводило до наявності поряд з ідеями лібералізму і демократизму ще й радикалізму, що спричинило „...перехід частини української молоді від вітчизняного народолюбства до російського соціал-революційного народництва” [206, 37]. Таким чином, починаючи з 70-х років ХІХ ст. громадівська молодь не вдовольнялася помірковано-культурницькою роботою, вона ставала більш схильною до політичної [206, 46].</w:t>
      </w:r>
    </w:p>
    <w:p w:rsidR="002C7991" w:rsidRDefault="002C7991" w:rsidP="002C7991">
      <w:pPr>
        <w:spacing w:line="360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На суттєвій відмінності Громади 70-х рр. від Громади 60-х рр. ХІХ ст. наголошує Н.Побірченко. Ця різниця виявилася не лише у кількісному складі (Громада 70-х була менш чисельною, однак активнішою і діяльнішою – І.</w:t>
      </w:r>
      <w:r w:rsidR="00F8790A">
        <w:rPr>
          <w:sz w:val="28"/>
          <w:szCs w:val="28"/>
        </w:rPr>
        <w:t>А</w:t>
      </w:r>
      <w:r>
        <w:rPr>
          <w:sz w:val="28"/>
          <w:szCs w:val="28"/>
        </w:rPr>
        <w:t xml:space="preserve">.), але й у структурі та якісному складі організації. Якщо до Громади 60-х рр., яка мала характер студентського об’єднання, міг входити кожний, хто визнавав українські звичаї, обряди, мову, літературу, то Громада 70-х рр. була організацією таємною. У цей час громадівці дотримувалися суворої конспірації та ретельно відбирали своїх членів </w:t>
      </w:r>
      <w:r>
        <w:rPr>
          <w:sz w:val="28"/>
          <w:szCs w:val="28"/>
          <w:lang w:val="ru-RU"/>
        </w:rPr>
        <w:t>[206</w:t>
      </w:r>
      <w:r>
        <w:rPr>
          <w:sz w:val="28"/>
          <w:szCs w:val="28"/>
        </w:rPr>
        <w:t>, 82</w:t>
      </w:r>
      <w:r>
        <w:rPr>
          <w:sz w:val="28"/>
          <w:szCs w:val="28"/>
          <w:lang w:val="ru-RU"/>
        </w:rPr>
        <w:t xml:space="preserve">]. </w:t>
      </w:r>
      <w:r>
        <w:rPr>
          <w:sz w:val="28"/>
          <w:szCs w:val="28"/>
        </w:rPr>
        <w:t xml:space="preserve">Володимир Науменко ввійшов до складу Київської громади за рекомендацією відомого громадівця О.Русова. </w:t>
      </w:r>
    </w:p>
    <w:p w:rsidR="002C7991" w:rsidRDefault="002C7991" w:rsidP="002C7991">
      <w:pPr>
        <w:spacing w:line="360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Дружба з О.Русовим, який також свого часу навчався в Київській 2-ій гімназії, мала значний вплив на формування особистості В.Науменка. Про спілкування з О.Русовим у дні своєї юності В.Науменко пізніше згадував: „У 1871-1872 роках наші розмови все частіше і частіше зводилися до тем українських. Пригадую день 30 травня 1872 року... Русов запропонував провести вечір з Костомаровим. До цих пір жваво переживаю ту радість, яку викликала у мене ця пропозиція: мені, що тоді ще тільки стихійно..., так би мовити, належав до української національної ідеї і читав Костомарова з коментарями старого М.Максимовича, з яким я в Києві прожив усю зиму в </w:t>
      </w:r>
      <w:r>
        <w:rPr>
          <w:sz w:val="28"/>
          <w:szCs w:val="28"/>
        </w:rPr>
        <w:lastRenderedPageBreak/>
        <w:t xml:space="preserve">одному домі і для якого читав вечорами..., мені здавалось чимось надзвичайним побачити цю знаменитість, та ще в інтимному колі” [243, 4]. </w:t>
      </w:r>
    </w:p>
    <w:p w:rsidR="002C7991" w:rsidRDefault="002C7991" w:rsidP="002C7991">
      <w:pPr>
        <w:spacing w:line="360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Ідеологічну основу діяльності Київської громади визначали і особливості українського визвольного руху 70-80-х рр. ХІХ ст., який у цей час відбувався за двома течіями: революційно-соціалістичною та земсько-ліберальною. В.Науменко, як і основна маса громадівців, дотримувався земсько-ліберального напряму, адже це була можливість здійснювати просвітницьку діяльність на легальному ґрунті [206, 44].</w:t>
      </w:r>
    </w:p>
    <w:p w:rsidR="002C7991" w:rsidRDefault="002C7991" w:rsidP="002C7991">
      <w:pPr>
        <w:spacing w:line="360" w:lineRule="auto"/>
        <w:ind w:firstLine="709"/>
        <w:jc w:val="both"/>
        <w:rPr>
          <w:sz w:val="28"/>
          <w:szCs w:val="28"/>
          <w:lang w:val="ru-RU"/>
        </w:rPr>
      </w:pPr>
      <w:r>
        <w:rPr>
          <w:sz w:val="28"/>
          <w:szCs w:val="28"/>
        </w:rPr>
        <w:t>Зміни у світогляді громадівців початку 70-х років ХІХ ст. були особливо відчутні. Якщо громадівці 60-х відзначалися аполітичністю</w:t>
      </w:r>
      <w:r>
        <w:rPr>
          <w:sz w:val="28"/>
          <w:szCs w:val="28"/>
          <w:lang w:val="ru-RU"/>
        </w:rPr>
        <w:t xml:space="preserve">, то на початку 70-х </w:t>
      </w:r>
      <w:r>
        <w:rPr>
          <w:sz w:val="28"/>
          <w:szCs w:val="28"/>
        </w:rPr>
        <w:t>„...ми не можемо, – зауважує Н.Побірченко, – говорити про повну їх аполітичність...” [206, 43]. Зі зміною світогляду в Київській громаді розмежувалися „ліве” і „праве” крило, радикали і ліберали. Володимир Науменко належав до лібералів, оскільки був прихильником культурно-просвітницької діяльності, його світогляд залишався аполітичним. Володимир Павлович разом з іншими представниками правого крила не заперечували ідей соціалізму, однак ставилися до них як до далекої перспективи. Шлях до цього ідеалу праві вбачали у мирних реформах </w:t>
      </w:r>
      <w:r>
        <w:rPr>
          <w:sz w:val="28"/>
          <w:szCs w:val="28"/>
          <w:lang w:val="ru-RU"/>
        </w:rPr>
        <w:t xml:space="preserve">[206, 44–45]. </w:t>
      </w:r>
    </w:p>
    <w:p w:rsidR="002C7991" w:rsidRDefault="002C7991" w:rsidP="002C7991">
      <w:pPr>
        <w:spacing w:line="360" w:lineRule="auto"/>
        <w:ind w:firstLine="709"/>
        <w:jc w:val="both"/>
        <w:rPr>
          <w:sz w:val="28"/>
          <w:szCs w:val="28"/>
          <w:lang w:val="ru-RU"/>
        </w:rPr>
      </w:pPr>
      <w:r>
        <w:rPr>
          <w:sz w:val="28"/>
          <w:szCs w:val="28"/>
        </w:rPr>
        <w:t xml:space="preserve">У цей час у середовищі радикально-налаштованих громадівців на чолі з М.Драгомановим почав поширюватися рух прихильників революційної пропаганди. Представники правого крила, а серед них і В.Науменко, виступали проти таких намірів радикалів. Ліберали були переконані, „...що тільки діяльна праця в галузі просвіти народу принесе користь Україні” </w:t>
      </w:r>
      <w:r>
        <w:rPr>
          <w:sz w:val="28"/>
          <w:szCs w:val="28"/>
          <w:lang w:val="ru-RU"/>
        </w:rPr>
        <w:t>[206</w:t>
      </w:r>
      <w:r>
        <w:rPr>
          <w:sz w:val="28"/>
          <w:szCs w:val="28"/>
        </w:rPr>
        <w:t>, 45</w:t>
      </w:r>
      <w:r>
        <w:rPr>
          <w:sz w:val="28"/>
          <w:szCs w:val="28"/>
          <w:lang w:val="ru-RU"/>
        </w:rPr>
        <w:t xml:space="preserve">]. </w:t>
      </w:r>
      <w:r>
        <w:rPr>
          <w:sz w:val="28"/>
          <w:szCs w:val="28"/>
        </w:rPr>
        <w:t xml:space="preserve">З цією метою потрібно було підкріплювати пропаганду реальною просвітою народу, піднімати його загальну культуру, а це, у свою чергу, вимагало ретельної праці з дослідження розвитку науки, освіти, мови, культури народу </w:t>
      </w:r>
      <w:r>
        <w:rPr>
          <w:sz w:val="28"/>
          <w:szCs w:val="28"/>
          <w:lang w:val="ru-RU"/>
        </w:rPr>
        <w:t>[206</w:t>
      </w:r>
      <w:r>
        <w:rPr>
          <w:sz w:val="28"/>
          <w:szCs w:val="28"/>
        </w:rPr>
        <w:t>, 45</w:t>
      </w:r>
      <w:r>
        <w:rPr>
          <w:sz w:val="28"/>
          <w:szCs w:val="28"/>
          <w:lang w:val="ru-RU"/>
        </w:rPr>
        <w:t>].</w:t>
      </w:r>
    </w:p>
    <w:p w:rsidR="002C7991" w:rsidRDefault="002C7991" w:rsidP="002C7991">
      <w:pPr>
        <w:spacing w:line="360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Активність Володимира Науменка у навчанні, самостійність наукових досліджень, спілкування з М.Максимовичем, лекції та виступи В.Антоновича і М.Драгоманова, творчість М.Костомарова, активна участь у просвітницькій діяльності Громади сприяли тому, що з університету В.Науменко вийшов уже з </w:t>
      </w:r>
      <w:r>
        <w:rPr>
          <w:sz w:val="28"/>
          <w:szCs w:val="28"/>
        </w:rPr>
        <w:lastRenderedPageBreak/>
        <w:t>цілком визначеними схильностями, серед яких М.Василенко виділив любов до українського народу, його історії та культури [11, 85]. Ці національні риси поєднувалися із загальнолюдськими: високою моральністю, гуманністю, відповідальністю за вчинки.</w:t>
      </w:r>
    </w:p>
    <w:p w:rsidR="002C7991" w:rsidRDefault="002C7991" w:rsidP="002C7991">
      <w:pPr>
        <w:spacing w:line="352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Таким чином, органічний зв’язок з українським культурним рухом сприяв вихованню національної свідомості В.Науменка, був одним з чинників формування національно спрямованого світогляду, потреби в захисті українського національного питання.</w:t>
      </w:r>
    </w:p>
    <w:p w:rsidR="002C7991" w:rsidRDefault="002C7991" w:rsidP="002C7991">
      <w:pPr>
        <w:spacing w:line="352" w:lineRule="auto"/>
        <w:ind w:firstLine="709"/>
        <w:jc w:val="both"/>
        <w:rPr>
          <w:b/>
          <w:sz w:val="28"/>
          <w:szCs w:val="28"/>
        </w:rPr>
      </w:pPr>
    </w:p>
    <w:p w:rsidR="00720C5C" w:rsidRDefault="00720C5C"/>
    <w:sectPr w:rsidR="00720C5C" w:rsidSect="002C7991">
      <w:pgSz w:w="11906" w:h="16838"/>
      <w:pgMar w:top="1134" w:right="1134" w:bottom="1134" w:left="1134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0"/>
  <w:proofState w:spelling="clean" w:grammar="clean"/>
  <w:defaultTabStop w:val="708"/>
  <w:characterSpacingControl w:val="doNotCompress"/>
  <w:compat/>
  <w:rsids>
    <w:rsidRoot w:val="002C7991"/>
    <w:rsid w:val="000A63FC"/>
    <w:rsid w:val="001947C0"/>
    <w:rsid w:val="002C7991"/>
    <w:rsid w:val="003C77A5"/>
    <w:rsid w:val="00423596"/>
    <w:rsid w:val="00720C5C"/>
    <w:rsid w:val="00874715"/>
    <w:rsid w:val="00A527A0"/>
    <w:rsid w:val="00AE236E"/>
    <w:rsid w:val="00F8790A"/>
    <w:rsid w:val="00FD659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C7991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uk-UA" w:eastAsia="uk-U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 Indent"/>
    <w:basedOn w:val="a"/>
    <w:link w:val="a4"/>
    <w:semiHidden/>
    <w:unhideWhenUsed/>
    <w:rsid w:val="002C7991"/>
    <w:pPr>
      <w:ind w:firstLine="720"/>
    </w:pPr>
    <w:rPr>
      <w:szCs w:val="20"/>
      <w:lang w:eastAsia="ru-RU"/>
    </w:rPr>
  </w:style>
  <w:style w:type="character" w:customStyle="1" w:styleId="a4">
    <w:name w:val="Основной текст с отступом Знак"/>
    <w:basedOn w:val="a0"/>
    <w:link w:val="a3"/>
    <w:semiHidden/>
    <w:rsid w:val="002C7991"/>
    <w:rPr>
      <w:rFonts w:ascii="Times New Roman" w:eastAsia="Times New Roman" w:hAnsi="Times New Roman" w:cs="Times New Roman"/>
      <w:sz w:val="24"/>
      <w:szCs w:val="20"/>
      <w:lang w:val="uk-UA"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227186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31</TotalTime>
  <Pages>7</Pages>
  <Words>1898</Words>
  <Characters>10821</Characters>
  <Application>Microsoft Office Word</Application>
  <DocSecurity>0</DocSecurity>
  <Lines>90</Lines>
  <Paragraphs>25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RePack by SPecialiST</Company>
  <LinksUpToDate>false</LinksUpToDate>
  <CharactersWithSpaces>12694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202</dc:creator>
  <cp:keywords/>
  <dc:description/>
  <cp:lastModifiedBy>202</cp:lastModifiedBy>
  <cp:revision>2</cp:revision>
  <dcterms:created xsi:type="dcterms:W3CDTF">2016-06-27T11:20:00Z</dcterms:created>
  <dcterms:modified xsi:type="dcterms:W3CDTF">2016-06-27T11:51:00Z</dcterms:modified>
</cp:coreProperties>
</file>